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9C02A" w14:textId="77777777" w:rsidR="00F90351" w:rsidRDefault="00CC264C" w:rsidP="00CE6EE3">
      <w:pPr>
        <w:tabs>
          <w:tab w:val="left" w:pos="5590"/>
        </w:tabs>
        <w:rPr>
          <w:b/>
        </w:rPr>
      </w:pPr>
      <w:r w:rsidRPr="00CC264C">
        <w:rPr>
          <w:b/>
        </w:rPr>
        <w:t>GENERAL SECRETARY’S REPORT 2017-2018</w:t>
      </w:r>
      <w:r w:rsidR="00CE6EE3" w:rsidRPr="00CC264C">
        <w:rPr>
          <w:b/>
        </w:rPr>
        <w:tab/>
      </w:r>
    </w:p>
    <w:p w14:paraId="603DFC83" w14:textId="77777777" w:rsidR="00CC264C" w:rsidRDefault="00CC264C" w:rsidP="00CE6EE3">
      <w:pPr>
        <w:tabs>
          <w:tab w:val="left" w:pos="5590"/>
        </w:tabs>
        <w:rPr>
          <w:b/>
        </w:rPr>
      </w:pPr>
    </w:p>
    <w:p w14:paraId="450D094D" w14:textId="77777777" w:rsidR="00CC264C" w:rsidRPr="00897C25" w:rsidRDefault="00CC264C" w:rsidP="00CE6EE3">
      <w:pPr>
        <w:tabs>
          <w:tab w:val="left" w:pos="5590"/>
        </w:tabs>
      </w:pPr>
      <w:r w:rsidRPr="00897C25">
        <w:t xml:space="preserve">Welcome everyone to our Annual General </w:t>
      </w:r>
      <w:r w:rsidR="00E36838">
        <w:t>M</w:t>
      </w:r>
      <w:r w:rsidRPr="00897C25">
        <w:t>eeting 2018</w:t>
      </w:r>
    </w:p>
    <w:p w14:paraId="202AB567" w14:textId="77777777" w:rsidR="00897C25" w:rsidRPr="00897C25" w:rsidRDefault="00897C25" w:rsidP="00CE6EE3">
      <w:pPr>
        <w:tabs>
          <w:tab w:val="left" w:pos="5590"/>
        </w:tabs>
      </w:pPr>
    </w:p>
    <w:p w14:paraId="217DEF83" w14:textId="6D010243" w:rsidR="00897C25" w:rsidRPr="00897C25" w:rsidRDefault="00897C25" w:rsidP="00CE6EE3">
      <w:pPr>
        <w:tabs>
          <w:tab w:val="left" w:pos="5590"/>
        </w:tabs>
      </w:pPr>
      <w:r w:rsidRPr="00897C25">
        <w:t>I</w:t>
      </w:r>
      <w:r>
        <w:t xml:space="preserve"> think we would all agree that </w:t>
      </w:r>
      <w:r w:rsidR="00E36838">
        <w:t>with so much going on with Brexit and other issues occupying the Governmen</w:t>
      </w:r>
      <w:r w:rsidR="00DA367D">
        <w:t>t,</w:t>
      </w:r>
      <w:r w:rsidR="0088764A">
        <w:t xml:space="preserve"> </w:t>
      </w:r>
      <w:r>
        <w:t>th</w:t>
      </w:r>
      <w:r w:rsidR="00AE7E56">
        <w:t>at we need to keep our eye on the ball. I</w:t>
      </w:r>
      <w:r w:rsidRPr="00897C25">
        <w:t>t is good to see you all here supporting the PSPC</w:t>
      </w:r>
      <w:r w:rsidR="004C205C">
        <w:t>.</w:t>
      </w:r>
      <w:r w:rsidRPr="00897C25">
        <w:t xml:space="preserve"> </w:t>
      </w:r>
    </w:p>
    <w:p w14:paraId="775A25D1" w14:textId="77777777" w:rsidR="00CC264C" w:rsidRPr="00897C25" w:rsidRDefault="00CC264C" w:rsidP="00CE6EE3">
      <w:pPr>
        <w:tabs>
          <w:tab w:val="left" w:pos="5590"/>
        </w:tabs>
      </w:pPr>
    </w:p>
    <w:p w14:paraId="5869A9BA" w14:textId="77777777" w:rsidR="004C28F5" w:rsidRPr="0088764A" w:rsidRDefault="004C28F5" w:rsidP="0088764A">
      <w:pPr>
        <w:spacing w:line="256" w:lineRule="auto"/>
        <w:contextualSpacing/>
        <w:jc w:val="both"/>
        <w:rPr>
          <w:rFonts w:cs="Arial"/>
          <w:b/>
          <w:sz w:val="28"/>
          <w:szCs w:val="28"/>
        </w:rPr>
      </w:pPr>
      <w:r w:rsidRPr="0088764A">
        <w:rPr>
          <w:rFonts w:cs="Arial"/>
          <w:b/>
          <w:sz w:val="28"/>
          <w:szCs w:val="28"/>
        </w:rPr>
        <w:t>General Election 2017</w:t>
      </w:r>
    </w:p>
    <w:p w14:paraId="68A12680" w14:textId="77777777" w:rsidR="004C28F5" w:rsidRPr="004C28F5" w:rsidRDefault="004C28F5" w:rsidP="00CE6EE3">
      <w:pPr>
        <w:tabs>
          <w:tab w:val="left" w:pos="5590"/>
        </w:tabs>
        <w:rPr>
          <w:b/>
        </w:rPr>
      </w:pPr>
    </w:p>
    <w:p w14:paraId="094EE5DA" w14:textId="69CDFFE0" w:rsidR="00E36838" w:rsidRDefault="00CC264C" w:rsidP="00CE6EE3">
      <w:pPr>
        <w:tabs>
          <w:tab w:val="left" w:pos="5590"/>
        </w:tabs>
      </w:pPr>
      <w:r w:rsidRPr="00897C25">
        <w:t xml:space="preserve">When </w:t>
      </w:r>
      <w:r w:rsidR="00E36838">
        <w:t xml:space="preserve">we last met, </w:t>
      </w:r>
      <w:r w:rsidRPr="00897C25">
        <w:t>we were in t</w:t>
      </w:r>
      <w:r w:rsidR="004C205C">
        <w:t>he throes of preparing for the s</w:t>
      </w:r>
      <w:r w:rsidRPr="00897C25">
        <w:t xml:space="preserve">nap </w:t>
      </w:r>
      <w:r w:rsidR="004C205C">
        <w:t>G</w:t>
      </w:r>
      <w:r w:rsidRPr="00897C25">
        <w:t xml:space="preserve">eneral </w:t>
      </w:r>
      <w:r w:rsidR="004C205C">
        <w:t>E</w:t>
      </w:r>
      <w:r w:rsidRPr="00897C25">
        <w:t xml:space="preserve">lection </w:t>
      </w:r>
      <w:r w:rsidR="00897C25" w:rsidRPr="00897C25">
        <w:t>to be held on 8 June</w:t>
      </w:r>
      <w:r w:rsidR="0088764A">
        <w:t xml:space="preserve"> 2017</w:t>
      </w:r>
      <w:r w:rsidR="00897C25" w:rsidRPr="00897C25">
        <w:t>.</w:t>
      </w:r>
      <w:r w:rsidR="00AE7E56">
        <w:t xml:space="preserve"> As agreed,</w:t>
      </w:r>
      <w:r w:rsidR="00E36838">
        <w:t xml:space="preserve"> </w:t>
      </w:r>
      <w:r w:rsidR="00897C25" w:rsidRPr="00897C25">
        <w:t>PSPC wrote to all the main political parties throughout the UK</w:t>
      </w:r>
      <w:r w:rsidR="00AE7E56">
        <w:t xml:space="preserve">, </w:t>
      </w:r>
      <w:r w:rsidR="0088764A">
        <w:t>outlining our</w:t>
      </w:r>
      <w:r w:rsidR="004C205C">
        <w:t xml:space="preserve"> requirements </w:t>
      </w:r>
      <w:r w:rsidR="0088764A">
        <w:t xml:space="preserve">for </w:t>
      </w:r>
      <w:r w:rsidR="004C205C">
        <w:t xml:space="preserve">their election manifestoes. </w:t>
      </w:r>
      <w:r w:rsidR="0088764A">
        <w:t>The four main themes were:</w:t>
      </w:r>
    </w:p>
    <w:p w14:paraId="32D49E82" w14:textId="77777777" w:rsidR="00E36838" w:rsidRDefault="00E36838" w:rsidP="00CE6EE3">
      <w:pPr>
        <w:tabs>
          <w:tab w:val="left" w:pos="5590"/>
        </w:tabs>
      </w:pPr>
    </w:p>
    <w:p w14:paraId="21D1B18D" w14:textId="77777777" w:rsidR="00E36838" w:rsidRPr="00707ECB" w:rsidRDefault="00E36838" w:rsidP="00707ECB">
      <w:pPr>
        <w:pStyle w:val="ListParagraph"/>
        <w:numPr>
          <w:ilvl w:val="0"/>
          <w:numId w:val="4"/>
        </w:numPr>
        <w:tabs>
          <w:tab w:val="left" w:pos="5590"/>
        </w:tabs>
        <w:rPr>
          <w:rFonts w:ascii="Arial" w:hAnsi="Arial" w:cs="Arial"/>
          <w:b/>
          <w:sz w:val="24"/>
          <w:szCs w:val="24"/>
        </w:rPr>
      </w:pPr>
      <w:r w:rsidRPr="00707ECB">
        <w:rPr>
          <w:rFonts w:ascii="Arial" w:hAnsi="Arial" w:cs="Arial"/>
          <w:b/>
          <w:sz w:val="24"/>
          <w:szCs w:val="24"/>
        </w:rPr>
        <w:t xml:space="preserve">The maintenance of Triple Lock and </w:t>
      </w:r>
      <w:r w:rsidR="00707ECB" w:rsidRPr="00707ECB">
        <w:rPr>
          <w:rFonts w:ascii="Arial" w:hAnsi="Arial" w:cs="Arial"/>
          <w:b/>
          <w:sz w:val="24"/>
          <w:szCs w:val="24"/>
        </w:rPr>
        <w:t>S</w:t>
      </w:r>
      <w:r w:rsidRPr="00707ECB">
        <w:rPr>
          <w:rFonts w:ascii="Arial" w:hAnsi="Arial" w:cs="Arial"/>
          <w:b/>
          <w:sz w:val="24"/>
          <w:szCs w:val="24"/>
        </w:rPr>
        <w:t xml:space="preserve">tate </w:t>
      </w:r>
      <w:r w:rsidR="00707ECB" w:rsidRPr="00707ECB">
        <w:rPr>
          <w:rFonts w:ascii="Arial" w:hAnsi="Arial" w:cs="Arial"/>
          <w:b/>
          <w:sz w:val="24"/>
          <w:szCs w:val="24"/>
        </w:rPr>
        <w:t>P</w:t>
      </w:r>
      <w:r w:rsidRPr="00707ECB">
        <w:rPr>
          <w:rFonts w:ascii="Arial" w:hAnsi="Arial" w:cs="Arial"/>
          <w:b/>
          <w:sz w:val="24"/>
          <w:szCs w:val="24"/>
        </w:rPr>
        <w:t>ension set well above the poverty level</w:t>
      </w:r>
    </w:p>
    <w:p w14:paraId="04953D47" w14:textId="77777777" w:rsidR="00E36838" w:rsidRPr="00707ECB" w:rsidRDefault="00707ECB" w:rsidP="00707ECB">
      <w:pPr>
        <w:pStyle w:val="ListParagraph"/>
        <w:numPr>
          <w:ilvl w:val="0"/>
          <w:numId w:val="4"/>
        </w:numPr>
        <w:tabs>
          <w:tab w:val="left" w:pos="5590"/>
        </w:tabs>
        <w:rPr>
          <w:rFonts w:ascii="Arial" w:hAnsi="Arial" w:cs="Arial"/>
          <w:b/>
          <w:sz w:val="24"/>
          <w:szCs w:val="24"/>
        </w:rPr>
      </w:pPr>
      <w:r w:rsidRPr="00707ECB">
        <w:rPr>
          <w:rFonts w:ascii="Arial" w:hAnsi="Arial" w:cs="Arial"/>
          <w:b/>
          <w:sz w:val="24"/>
          <w:szCs w:val="24"/>
        </w:rPr>
        <w:t>Universal Pensioner Benefits to remain in place</w:t>
      </w:r>
    </w:p>
    <w:p w14:paraId="6C5C721B" w14:textId="77777777" w:rsidR="00707ECB" w:rsidRPr="00707ECB" w:rsidRDefault="00707ECB" w:rsidP="00707ECB">
      <w:pPr>
        <w:pStyle w:val="ListParagraph"/>
        <w:numPr>
          <w:ilvl w:val="0"/>
          <w:numId w:val="4"/>
        </w:numPr>
        <w:tabs>
          <w:tab w:val="left" w:pos="5590"/>
        </w:tabs>
        <w:rPr>
          <w:rFonts w:ascii="Arial" w:hAnsi="Arial" w:cs="Arial"/>
          <w:b/>
          <w:sz w:val="24"/>
          <w:szCs w:val="24"/>
        </w:rPr>
      </w:pPr>
      <w:r w:rsidRPr="00707ECB">
        <w:rPr>
          <w:rFonts w:ascii="Arial" w:hAnsi="Arial" w:cs="Arial"/>
          <w:b/>
          <w:sz w:val="24"/>
          <w:szCs w:val="24"/>
        </w:rPr>
        <w:t xml:space="preserve">A commitment to ensure that all widows and widowers public service pensions are pensions for life </w:t>
      </w:r>
    </w:p>
    <w:p w14:paraId="3192612F" w14:textId="77777777" w:rsidR="00707ECB" w:rsidRPr="00707ECB" w:rsidRDefault="00707ECB" w:rsidP="00707ECB">
      <w:pPr>
        <w:pStyle w:val="ListParagraph"/>
        <w:numPr>
          <w:ilvl w:val="0"/>
          <w:numId w:val="4"/>
        </w:numPr>
        <w:tabs>
          <w:tab w:val="left" w:pos="5590"/>
        </w:tabs>
        <w:rPr>
          <w:rFonts w:ascii="Arial" w:hAnsi="Arial" w:cs="Arial"/>
          <w:b/>
          <w:sz w:val="24"/>
          <w:szCs w:val="24"/>
        </w:rPr>
      </w:pPr>
      <w:r w:rsidRPr="00707ECB">
        <w:rPr>
          <w:rFonts w:ascii="Arial" w:hAnsi="Arial" w:cs="Arial"/>
          <w:b/>
          <w:sz w:val="24"/>
          <w:szCs w:val="24"/>
        </w:rPr>
        <w:t>A commitment  to ensure that those in receipt of a UK state pension living in the EU will continue to receive uprating after Brexit</w:t>
      </w:r>
    </w:p>
    <w:p w14:paraId="57A706CA" w14:textId="77777777" w:rsidR="00707ECB" w:rsidRDefault="00707ECB" w:rsidP="00707ECB">
      <w:pPr>
        <w:pStyle w:val="ListParagraph"/>
        <w:tabs>
          <w:tab w:val="left" w:pos="5590"/>
        </w:tabs>
      </w:pPr>
    </w:p>
    <w:p w14:paraId="7C1C332D" w14:textId="1C0A0629" w:rsidR="00707ECB" w:rsidRDefault="004C205C" w:rsidP="00CE6EE3">
      <w:pPr>
        <w:tabs>
          <w:tab w:val="left" w:pos="5590"/>
        </w:tabs>
      </w:pPr>
      <w:r>
        <w:t>A</w:t>
      </w:r>
      <w:r w:rsidR="00897C25" w:rsidRPr="00897C25">
        <w:t xml:space="preserve">mong the replies </w:t>
      </w:r>
      <w:r>
        <w:t xml:space="preserve">we </w:t>
      </w:r>
      <w:r w:rsidR="00897C25" w:rsidRPr="00897C25">
        <w:t>received</w:t>
      </w:r>
      <w:r w:rsidR="00E36838">
        <w:t>,</w:t>
      </w:r>
      <w:r w:rsidR="00897C25" w:rsidRPr="00897C25">
        <w:t xml:space="preserve"> was one from the DUP</w:t>
      </w:r>
      <w:r>
        <w:t xml:space="preserve"> which promised to uphold our</w:t>
      </w:r>
      <w:r w:rsidR="00707ECB">
        <w:t xml:space="preserve"> requests</w:t>
      </w:r>
      <w:r w:rsidR="00897C25" w:rsidRPr="00897C25">
        <w:t>.</w:t>
      </w:r>
      <w:r w:rsidR="00707ECB">
        <w:t xml:space="preserve"> And who would’ve forecast that they would now be propping up </w:t>
      </w:r>
      <w:r w:rsidR="00BB76EF">
        <w:t xml:space="preserve">Theresa </w:t>
      </w:r>
      <w:r w:rsidR="00707ECB">
        <w:t xml:space="preserve">May’s Government? </w:t>
      </w:r>
    </w:p>
    <w:p w14:paraId="60E44BC4" w14:textId="1F4DE5E3" w:rsidR="00CC264C" w:rsidRDefault="00707ECB" w:rsidP="00CE6EE3">
      <w:pPr>
        <w:tabs>
          <w:tab w:val="left" w:pos="5590"/>
        </w:tabs>
      </w:pPr>
      <w:r>
        <w:t>The DUP’s subsequent statement making the Triple Lock and Universal Pensioner Benefits no</w:t>
      </w:r>
      <w:r w:rsidR="00BB76EF">
        <w:t xml:space="preserve">n-negotiable is reassuring, </w:t>
      </w:r>
      <w:r>
        <w:t>but we know from experience that we can</w:t>
      </w:r>
      <w:r w:rsidR="00BB76EF">
        <w:t>no</w:t>
      </w:r>
      <w:r>
        <w:t xml:space="preserve">t </w:t>
      </w:r>
      <w:r w:rsidR="00DA367D">
        <w:t>be complacent.</w:t>
      </w:r>
    </w:p>
    <w:p w14:paraId="313B9950" w14:textId="77777777" w:rsidR="00DA367D" w:rsidRDefault="00DA367D" w:rsidP="00CE6EE3">
      <w:pPr>
        <w:tabs>
          <w:tab w:val="left" w:pos="5590"/>
        </w:tabs>
      </w:pPr>
    </w:p>
    <w:p w14:paraId="5675563F" w14:textId="77777777" w:rsidR="00DA367D" w:rsidRDefault="00DA367D" w:rsidP="00BB76EF">
      <w:pPr>
        <w:spacing w:line="256" w:lineRule="auto"/>
        <w:contextualSpacing/>
        <w:jc w:val="both"/>
        <w:rPr>
          <w:rFonts w:cs="Arial"/>
          <w:b/>
          <w:sz w:val="28"/>
          <w:szCs w:val="28"/>
        </w:rPr>
      </w:pPr>
      <w:r w:rsidRPr="000D4895">
        <w:rPr>
          <w:rFonts w:cs="Arial"/>
          <w:b/>
          <w:sz w:val="28"/>
          <w:szCs w:val="28"/>
        </w:rPr>
        <w:t xml:space="preserve">Leaving the EU </w:t>
      </w:r>
    </w:p>
    <w:p w14:paraId="6F8B45D7" w14:textId="5AC0C1EB" w:rsidR="00DA367D" w:rsidRPr="000C25B4" w:rsidRDefault="00DA367D" w:rsidP="0088764A">
      <w:pPr>
        <w:spacing w:before="240" w:after="160" w:line="254" w:lineRule="auto"/>
        <w:jc w:val="both"/>
      </w:pPr>
      <w:r w:rsidRPr="000C25B4">
        <w:t xml:space="preserve">Even though we are now less than a year away from leaving the EU. We are still none the wiser about the </w:t>
      </w:r>
      <w:r w:rsidR="00B92295" w:rsidRPr="000C25B4">
        <w:t xml:space="preserve">aim of the </w:t>
      </w:r>
      <w:r w:rsidRPr="000C25B4">
        <w:t>negotiations</w:t>
      </w:r>
      <w:r w:rsidR="003D1C3F">
        <w:t xml:space="preserve"> and how the outcome may affect our members</w:t>
      </w:r>
      <w:r w:rsidR="00B92295" w:rsidRPr="000C25B4">
        <w:t xml:space="preserve">. </w:t>
      </w:r>
      <w:r w:rsidRPr="000C25B4">
        <w:t xml:space="preserve">We are ensuring that we are </w:t>
      </w:r>
      <w:r w:rsidR="00B92295" w:rsidRPr="000C25B4">
        <w:t>focusing</w:t>
      </w:r>
      <w:r w:rsidRPr="000C25B4">
        <w:t xml:space="preserve"> our efforts where they are most effective to seek a good outcome for pensioners.</w:t>
      </w:r>
      <w:r w:rsidR="000C25B4">
        <w:t xml:space="preserve"> A letter was sent to David Davis </w:t>
      </w:r>
      <w:r w:rsidR="003D1C3F">
        <w:t xml:space="preserve">during the year to ensure that he is aware of our concerns about the possible effects of Brexit on State Pension and Universal Pensioner </w:t>
      </w:r>
      <w:r w:rsidR="0088764A">
        <w:t>B</w:t>
      </w:r>
      <w:r w:rsidR="003D1C3F">
        <w:t>enefits</w:t>
      </w:r>
      <w:r w:rsidR="0088764A">
        <w:t>,</w:t>
      </w:r>
      <w:r w:rsidR="003D1C3F">
        <w:t xml:space="preserve"> and</w:t>
      </w:r>
      <w:r w:rsidR="0088764A">
        <w:t xml:space="preserve"> the need to </w:t>
      </w:r>
      <w:r w:rsidR="003D1C3F">
        <w:t>continu</w:t>
      </w:r>
      <w:r w:rsidR="0088764A">
        <w:t>e</w:t>
      </w:r>
      <w:r w:rsidR="003D1C3F">
        <w:t xml:space="preserve"> the uprating of pensions for those </w:t>
      </w:r>
      <w:r w:rsidR="00C50294">
        <w:t>receiving a State Pension</w:t>
      </w:r>
      <w:r w:rsidR="00BB76EF">
        <w:t xml:space="preserve"> who are </w:t>
      </w:r>
      <w:r w:rsidR="003D1C3F">
        <w:t>resident in the EU</w:t>
      </w:r>
      <w:r w:rsidR="00C50294">
        <w:t>.</w:t>
      </w:r>
      <w:r w:rsidR="003D1C3F">
        <w:t xml:space="preserve"> </w:t>
      </w:r>
    </w:p>
    <w:p w14:paraId="02AA5329" w14:textId="77777777" w:rsidR="00BB76EF" w:rsidRDefault="00DA367D" w:rsidP="00BB76EF">
      <w:pPr>
        <w:spacing w:before="240" w:after="160" w:line="254" w:lineRule="auto"/>
        <w:jc w:val="both"/>
        <w:rPr>
          <w:rFonts w:cs="Arial"/>
          <w:b/>
          <w:sz w:val="28"/>
          <w:szCs w:val="28"/>
        </w:rPr>
      </w:pPr>
      <w:r w:rsidRPr="000D4895">
        <w:rPr>
          <w:rFonts w:cs="Arial"/>
          <w:b/>
          <w:sz w:val="28"/>
          <w:szCs w:val="28"/>
        </w:rPr>
        <w:t>Intergenerational Fairness</w:t>
      </w:r>
    </w:p>
    <w:p w14:paraId="116835BA" w14:textId="5F2A116F" w:rsidR="00DA367D" w:rsidRPr="000C25B4" w:rsidRDefault="00B92295" w:rsidP="00BB76EF">
      <w:pPr>
        <w:spacing w:before="240" w:after="160" w:line="254" w:lineRule="auto"/>
        <w:jc w:val="both"/>
      </w:pPr>
      <w:r w:rsidRPr="000C25B4">
        <w:t xml:space="preserve">The </w:t>
      </w:r>
      <w:r w:rsidR="00EB3870" w:rsidRPr="000C25B4">
        <w:t>I</w:t>
      </w:r>
      <w:r w:rsidRPr="000C25B4">
        <w:t>ntergenerational Fairness game continues to be played</w:t>
      </w:r>
      <w:r w:rsidR="00EB3870" w:rsidRPr="000C25B4">
        <w:t xml:space="preserve"> in the media </w:t>
      </w:r>
      <w:r w:rsidR="0088764A">
        <w:t xml:space="preserve">with </w:t>
      </w:r>
      <w:r w:rsidR="00EB3870" w:rsidRPr="000C25B4">
        <w:t xml:space="preserve">older people  blamed for problems </w:t>
      </w:r>
      <w:r w:rsidR="0088764A">
        <w:t>around</w:t>
      </w:r>
      <w:r w:rsidR="009D63D3">
        <w:t xml:space="preserve"> </w:t>
      </w:r>
      <w:r w:rsidR="00EB3870" w:rsidRPr="000C25B4">
        <w:t xml:space="preserve">housing </w:t>
      </w:r>
      <w:r w:rsidR="009D63D3">
        <w:t xml:space="preserve">shortages, the NHS and Social Care, </w:t>
      </w:r>
      <w:r w:rsidR="00EB3870" w:rsidRPr="000C25B4">
        <w:t xml:space="preserve">the cost of pensions and Universal Pensioner </w:t>
      </w:r>
      <w:r w:rsidR="0042215B" w:rsidRPr="000C25B4">
        <w:t xml:space="preserve">Benefits. </w:t>
      </w:r>
      <w:r w:rsidR="00EB3870" w:rsidRPr="000C25B4">
        <w:t xml:space="preserve"> PSPC</w:t>
      </w:r>
      <w:r w:rsidR="0042215B" w:rsidRPr="000C25B4">
        <w:t xml:space="preserve">’s terms of reference </w:t>
      </w:r>
      <w:r w:rsidR="00EB3870" w:rsidRPr="000C25B4">
        <w:t xml:space="preserve">take account of the needs of not only current pensioners, but of those </w:t>
      </w:r>
      <w:r w:rsidR="00BD0346">
        <w:t>“</w:t>
      </w:r>
      <w:r w:rsidR="00EB3870" w:rsidRPr="000C25B4">
        <w:t>pe</w:t>
      </w:r>
      <w:r w:rsidR="00BD0346">
        <w:t xml:space="preserve">nsioners in waiting” </w:t>
      </w:r>
      <w:r w:rsidR="00EB3870" w:rsidRPr="000C25B4">
        <w:t>due to receive pension</w:t>
      </w:r>
      <w:r w:rsidR="00BD0346">
        <w:t>s</w:t>
      </w:r>
      <w:r w:rsidR="00EB3870" w:rsidRPr="000C25B4">
        <w:t xml:space="preserve"> in the </w:t>
      </w:r>
      <w:r w:rsidR="00EB3870" w:rsidRPr="000C25B4">
        <w:lastRenderedPageBreak/>
        <w:t xml:space="preserve">future.  </w:t>
      </w:r>
      <w:r w:rsidR="00DA367D" w:rsidRPr="000C25B4">
        <w:t>W</w:t>
      </w:r>
      <w:r w:rsidR="00EB3870" w:rsidRPr="000C25B4">
        <w:t>e are keeping</w:t>
      </w:r>
      <w:r w:rsidR="00EB3870">
        <w:rPr>
          <w:rFonts w:cs="Arial"/>
          <w:sz w:val="22"/>
          <w:szCs w:val="22"/>
        </w:rPr>
        <w:t xml:space="preserve"> </w:t>
      </w:r>
      <w:r w:rsidR="00EB3870" w:rsidRPr="000C25B4">
        <w:t xml:space="preserve">an eye on the </w:t>
      </w:r>
      <w:r w:rsidR="00DA367D" w:rsidRPr="000C25B4">
        <w:t xml:space="preserve">intergenerational fairness question and </w:t>
      </w:r>
      <w:r w:rsidR="00EB3870" w:rsidRPr="000C25B4">
        <w:t xml:space="preserve">are </w:t>
      </w:r>
      <w:r w:rsidR="00DA367D" w:rsidRPr="000C25B4">
        <w:t>alert to any developments</w:t>
      </w:r>
      <w:r w:rsidR="00EB3870" w:rsidRPr="000C25B4">
        <w:t>.</w:t>
      </w:r>
      <w:r w:rsidR="00DA367D" w:rsidRPr="000C25B4">
        <w:t xml:space="preserve"> </w:t>
      </w:r>
      <w:r w:rsidR="001A2FE4" w:rsidRPr="000C25B4">
        <w:t>W</w:t>
      </w:r>
      <w:r w:rsidR="00DA367D" w:rsidRPr="000C25B4">
        <w:t>e will continue to campaign to keep both the triple lock and UPBs</w:t>
      </w:r>
      <w:r w:rsidR="009D63D3">
        <w:t xml:space="preserve"> and to highlight the positive contribution made by the older generation</w:t>
      </w:r>
      <w:r w:rsidR="00BD0346">
        <w:t>, whilst being</w:t>
      </w:r>
      <w:r w:rsidR="00627F6C">
        <w:t xml:space="preserve"> realistic</w:t>
      </w:r>
      <w:r w:rsidR="0088764A">
        <w:t xml:space="preserve"> and</w:t>
      </w:r>
      <w:r w:rsidR="00BD0346">
        <w:t xml:space="preserve"> pragmatic about the need to carry out periodic reviews of the State Pension Age as life expectancies change.</w:t>
      </w:r>
    </w:p>
    <w:p w14:paraId="65E1D5C4" w14:textId="77777777" w:rsidR="00DA367D" w:rsidRPr="000C25B4" w:rsidRDefault="00DA367D" w:rsidP="00BB76EF">
      <w:pPr>
        <w:spacing w:before="240"/>
        <w:jc w:val="both"/>
      </w:pPr>
    </w:p>
    <w:p w14:paraId="5F52F70B" w14:textId="77777777" w:rsidR="00B9315C" w:rsidRDefault="00B6232F" w:rsidP="00B9315C">
      <w:pPr>
        <w:jc w:val="both"/>
        <w:rPr>
          <w:rFonts w:cs="Arial"/>
          <w:b/>
          <w:sz w:val="28"/>
          <w:szCs w:val="28"/>
        </w:rPr>
      </w:pPr>
      <w:r>
        <w:rPr>
          <w:rFonts w:cs="Arial"/>
          <w:b/>
          <w:sz w:val="28"/>
          <w:szCs w:val="28"/>
        </w:rPr>
        <w:t xml:space="preserve">State Pension </w:t>
      </w:r>
    </w:p>
    <w:p w14:paraId="7B19EF42" w14:textId="77777777" w:rsidR="00B9315C" w:rsidRDefault="00B9315C" w:rsidP="00B9315C">
      <w:pPr>
        <w:jc w:val="both"/>
        <w:rPr>
          <w:rFonts w:cs="Arial"/>
          <w:b/>
          <w:sz w:val="28"/>
          <w:szCs w:val="28"/>
        </w:rPr>
      </w:pPr>
    </w:p>
    <w:p w14:paraId="63340FE7" w14:textId="0CDC50F1" w:rsidR="00B9315C" w:rsidRDefault="00B9315C" w:rsidP="00B9315C">
      <w:pPr>
        <w:jc w:val="both"/>
      </w:pPr>
      <w:r>
        <w:t xml:space="preserve">You will be aware that there are </w:t>
      </w:r>
      <w:r w:rsidRPr="001E1C6E">
        <w:t xml:space="preserve">now two state pensions operating in parallel.  We are continuing our campaign to secure an early review for the possible inclusion of existing pensioners in the single tier state pension; a 15-year transitional period for derived rights accrued under the current system; maintenance of pass ported benefits for those with single-tier pension and no other income and an increase in all state pensions (including S2P/SERPS currently increased by CPI) in line with the triple lock or prices, earnings or 2.5 per cent. </w:t>
      </w:r>
    </w:p>
    <w:p w14:paraId="23D2BF0F" w14:textId="135700EC" w:rsidR="00DA367D" w:rsidRDefault="00DA367D" w:rsidP="00DA367D">
      <w:pPr>
        <w:spacing w:after="160" w:line="254" w:lineRule="auto"/>
        <w:jc w:val="both"/>
        <w:rPr>
          <w:rFonts w:cs="Arial"/>
          <w:b/>
          <w:sz w:val="28"/>
          <w:szCs w:val="28"/>
        </w:rPr>
      </w:pPr>
    </w:p>
    <w:p w14:paraId="0BCB21FF" w14:textId="2D9C7ABB" w:rsidR="00B6232F" w:rsidRDefault="00B6232F" w:rsidP="00DA367D">
      <w:pPr>
        <w:spacing w:after="160" w:line="254" w:lineRule="auto"/>
        <w:jc w:val="both"/>
        <w:rPr>
          <w:rFonts w:cs="Arial"/>
          <w:b/>
          <w:sz w:val="28"/>
          <w:szCs w:val="28"/>
        </w:rPr>
      </w:pPr>
      <w:r>
        <w:rPr>
          <w:rFonts w:cs="Arial"/>
          <w:b/>
          <w:sz w:val="28"/>
          <w:szCs w:val="28"/>
        </w:rPr>
        <w:t>State Pension Age</w:t>
      </w:r>
      <w:r w:rsidR="00627F6C">
        <w:rPr>
          <w:rFonts w:cs="Arial"/>
          <w:b/>
          <w:sz w:val="28"/>
          <w:szCs w:val="28"/>
        </w:rPr>
        <w:t xml:space="preserve"> </w:t>
      </w:r>
    </w:p>
    <w:p w14:paraId="531D1D6A" w14:textId="11B22A7E" w:rsidR="00B9315C" w:rsidRPr="00DE382B" w:rsidRDefault="00B9315C" w:rsidP="00B9315C">
      <w:pPr>
        <w:jc w:val="both"/>
      </w:pPr>
      <w:r>
        <w:t xml:space="preserve">During the </w:t>
      </w:r>
      <w:r w:rsidRPr="00B9315C">
        <w:t>year</w:t>
      </w:r>
      <w:r w:rsidR="0088764A">
        <w:t>,</w:t>
      </w:r>
      <w:r w:rsidRPr="00B9315C">
        <w:t xml:space="preserve"> the Government</w:t>
      </w:r>
      <w:r>
        <w:t xml:space="preserve"> announced that it would accept the recommendations of the Cridland Review of State Pension Age</w:t>
      </w:r>
      <w:r w:rsidR="0088764A">
        <w:t>,</w:t>
      </w:r>
      <w:r>
        <w:t xml:space="preserve"> </w:t>
      </w:r>
      <w:r w:rsidR="00044421">
        <w:t>meaning that it would rise to 68 years between 2037 and 2039, seven years earlie</w:t>
      </w:r>
      <w:r w:rsidR="00B269B2">
        <w:t>r than currently legislated for. They did</w:t>
      </w:r>
      <w:r w:rsidR="0088764A">
        <w:t>,</w:t>
      </w:r>
      <w:r w:rsidR="00B269B2">
        <w:t xml:space="preserve"> however, state that they </w:t>
      </w:r>
      <w:r w:rsidR="00AC4BD0">
        <w:t xml:space="preserve">would carry out a further review before legislating to bring forward the rise in State Pension Age. </w:t>
      </w:r>
      <w:r w:rsidR="00385DED">
        <w:t>PSPC had previously responded to the Turner Commission paper on the state pension age published in 2006 that State Pension Age may have to be increased to maintain a State Pension</w:t>
      </w:r>
      <w:r w:rsidR="0088764A">
        <w:t>,</w:t>
      </w:r>
      <w:r w:rsidR="00385DED">
        <w:t xml:space="preserve"> but that measures should be taken to support workers in hi</w:t>
      </w:r>
      <w:r w:rsidR="0000784C">
        <w:t xml:space="preserve">gh stress or manual occupations. </w:t>
      </w:r>
      <w:r w:rsidR="0000784C" w:rsidRPr="00DE382B">
        <w:t xml:space="preserve">A motion to be debated at the AGM covers the acceleration in the State Pension Age increase. </w:t>
      </w:r>
    </w:p>
    <w:p w14:paraId="29A0A6B5" w14:textId="77777777" w:rsidR="00AC4BD0" w:rsidRDefault="00AC4BD0" w:rsidP="00B9315C">
      <w:pPr>
        <w:jc w:val="both"/>
      </w:pPr>
    </w:p>
    <w:p w14:paraId="4341701C" w14:textId="314A7B51" w:rsidR="00044421" w:rsidRPr="000C25B4" w:rsidRDefault="00044421" w:rsidP="00044421">
      <w:pPr>
        <w:tabs>
          <w:tab w:val="left" w:pos="5590"/>
        </w:tabs>
      </w:pPr>
      <w:r>
        <w:t xml:space="preserve">Our response to the Labour Party Consultation </w:t>
      </w:r>
      <w:r w:rsidRPr="00BB76EF">
        <w:rPr>
          <w:i/>
        </w:rPr>
        <w:t>Dignity and Security in Older Age</w:t>
      </w:r>
      <w:r>
        <w:t xml:space="preserve"> </w:t>
      </w:r>
      <w:r w:rsidR="00AC4BD0">
        <w:t xml:space="preserve">: The State Pension (available </w:t>
      </w:r>
      <w:r w:rsidR="0088764A">
        <w:t xml:space="preserve">to download </w:t>
      </w:r>
      <w:r w:rsidR="00AC4BD0">
        <w:t>via the</w:t>
      </w:r>
      <w:r w:rsidR="0088764A">
        <w:t xml:space="preserve"> PSPC</w:t>
      </w:r>
      <w:r w:rsidR="00AC4BD0">
        <w:t xml:space="preserve"> website) indicates our support for their proposed </w:t>
      </w:r>
      <w:r w:rsidR="003622B2">
        <w:t xml:space="preserve">review of the pension age tasked with developing a </w:t>
      </w:r>
      <w:r w:rsidR="00AC4BD0">
        <w:t>fl</w:t>
      </w:r>
      <w:r w:rsidR="003622B2">
        <w:t>e</w:t>
      </w:r>
      <w:r w:rsidR="00AC4BD0">
        <w:t>xible</w:t>
      </w:r>
      <w:r w:rsidR="003622B2">
        <w:t xml:space="preserve"> retirement policy, provided it takes into account differences in life expectancy across the UK and in different occupations.</w:t>
      </w:r>
    </w:p>
    <w:p w14:paraId="11D04D92" w14:textId="77777777" w:rsidR="00E15A3D" w:rsidRPr="00AC4BD0" w:rsidRDefault="00E15A3D" w:rsidP="00AC4BD0">
      <w:pPr>
        <w:spacing w:after="160" w:line="254" w:lineRule="auto"/>
        <w:jc w:val="both"/>
        <w:rPr>
          <w:rFonts w:cs="Arial"/>
          <w:b/>
          <w:sz w:val="28"/>
          <w:szCs w:val="28"/>
        </w:rPr>
      </w:pPr>
    </w:p>
    <w:p w14:paraId="69F699FB" w14:textId="1CAF8351" w:rsidR="00DA367D" w:rsidRPr="000D4895" w:rsidRDefault="00DA367D" w:rsidP="00DE382B">
      <w:pPr>
        <w:tabs>
          <w:tab w:val="left" w:pos="3640"/>
        </w:tabs>
        <w:spacing w:after="160" w:line="254" w:lineRule="auto"/>
        <w:jc w:val="both"/>
        <w:rPr>
          <w:rFonts w:cs="Arial"/>
          <w:b/>
          <w:sz w:val="28"/>
          <w:szCs w:val="28"/>
        </w:rPr>
      </w:pPr>
      <w:r w:rsidRPr="000D4895">
        <w:rPr>
          <w:rFonts w:cs="Arial"/>
          <w:b/>
          <w:sz w:val="28"/>
          <w:szCs w:val="28"/>
        </w:rPr>
        <w:t xml:space="preserve">Inflation Indexation </w:t>
      </w:r>
      <w:r w:rsidR="00DE382B">
        <w:rPr>
          <w:rFonts w:cs="Arial"/>
          <w:b/>
          <w:sz w:val="28"/>
          <w:szCs w:val="28"/>
        </w:rPr>
        <w:tab/>
      </w:r>
    </w:p>
    <w:p w14:paraId="4576F3F3" w14:textId="1CFCE4A5" w:rsidR="00481FEA" w:rsidRDefault="00B56E08" w:rsidP="006B2209">
      <w:pPr>
        <w:jc w:val="both"/>
      </w:pPr>
      <w:r>
        <w:t>On indexation, a</w:t>
      </w:r>
      <w:r w:rsidR="00DA367D" w:rsidRPr="006B2209">
        <w:t xml:space="preserve"> Motion m</w:t>
      </w:r>
      <w:r w:rsidR="00422504" w:rsidRPr="006B2209">
        <w:t xml:space="preserve">oved by the Executive Committee, </w:t>
      </w:r>
      <w:r w:rsidR="00D44B57" w:rsidRPr="006B2209">
        <w:t xml:space="preserve">carried </w:t>
      </w:r>
      <w:r w:rsidR="00DA367D" w:rsidRPr="006B2209">
        <w:t>a</w:t>
      </w:r>
      <w:r w:rsidR="00D44B57" w:rsidRPr="006B2209">
        <w:t>t last year’</w:t>
      </w:r>
      <w:r w:rsidR="00422504" w:rsidRPr="006B2209">
        <w:t xml:space="preserve">s AGM, has formed the basis of our work in this area over the past year. </w:t>
      </w:r>
    </w:p>
    <w:p w14:paraId="77395448" w14:textId="77777777" w:rsidR="00481FEA" w:rsidRDefault="00481FEA" w:rsidP="006B2209">
      <w:pPr>
        <w:jc w:val="both"/>
      </w:pPr>
    </w:p>
    <w:p w14:paraId="583942FE" w14:textId="77777777" w:rsidR="00481FEA" w:rsidRPr="00EE3208" w:rsidRDefault="00481FEA" w:rsidP="00481FEA">
      <w:pPr>
        <w:ind w:left="720"/>
        <w:jc w:val="both"/>
        <w:rPr>
          <w:i/>
        </w:rPr>
      </w:pPr>
      <w:r>
        <w:rPr>
          <w:i/>
        </w:rPr>
        <w:t>“</w:t>
      </w:r>
      <w:r w:rsidRPr="00EE3208">
        <w:rPr>
          <w:i/>
        </w:rPr>
        <w:t xml:space="preserve">This Annual General Meeting (AGM) welcomes the decision of the Executive Committee to consult with constituent organisations, by way of </w:t>
      </w:r>
      <w:r w:rsidRPr="00EE3208">
        <w:rPr>
          <w:b/>
          <w:i/>
        </w:rPr>
        <w:t>Campaigns Update 63/2016</w:t>
      </w:r>
      <w:r w:rsidRPr="00EE3208">
        <w:rPr>
          <w:i/>
        </w:rPr>
        <w:t>, on which future measures of inflation should be used for the indexation of pensions.</w:t>
      </w:r>
    </w:p>
    <w:p w14:paraId="27CBFB6B" w14:textId="77777777" w:rsidR="00481FEA" w:rsidRPr="00EE3208" w:rsidRDefault="00481FEA" w:rsidP="00481FEA">
      <w:pPr>
        <w:jc w:val="both"/>
        <w:rPr>
          <w:rFonts w:ascii="Calibri" w:hAnsi="Calibri"/>
          <w:i/>
          <w:sz w:val="22"/>
          <w:szCs w:val="22"/>
          <w:lang w:val="en-GB"/>
        </w:rPr>
      </w:pPr>
    </w:p>
    <w:p w14:paraId="5778F5FC" w14:textId="77777777" w:rsidR="00481FEA" w:rsidRPr="00EE3208" w:rsidRDefault="00481FEA" w:rsidP="00481FEA">
      <w:pPr>
        <w:ind w:left="720"/>
        <w:jc w:val="both"/>
        <w:rPr>
          <w:i/>
        </w:rPr>
      </w:pPr>
      <w:r w:rsidRPr="00EE3208">
        <w:rPr>
          <w:i/>
        </w:rPr>
        <w:t>This AGM further notes that the outcome of that consultation was that, on balance, the PSPC should, in view of the decision of the National Statistician to make CPI (H) the ONS’s preferred measure of inflation from March 2017 and the recent consistently higher recorded rates for CPI (H) over those of CPI, press the Government to accept CPI (H) as the indexation for use in annual pay increases, along with other pensioner organisations, and endorses that approach.</w:t>
      </w:r>
    </w:p>
    <w:p w14:paraId="5681B4A3" w14:textId="77777777" w:rsidR="00481FEA" w:rsidRPr="00EE3208" w:rsidRDefault="00481FEA" w:rsidP="00481FEA">
      <w:pPr>
        <w:jc w:val="both"/>
        <w:rPr>
          <w:i/>
        </w:rPr>
      </w:pPr>
    </w:p>
    <w:p w14:paraId="48FBC73A" w14:textId="77777777" w:rsidR="00481FEA" w:rsidRPr="00EE3208" w:rsidRDefault="00481FEA" w:rsidP="00481FEA">
      <w:pPr>
        <w:ind w:left="720"/>
        <w:jc w:val="both"/>
        <w:rPr>
          <w:rFonts w:cs="Arial"/>
          <w:i/>
          <w:color w:val="FF0000"/>
          <w:sz w:val="23"/>
          <w:szCs w:val="23"/>
          <w:lang w:val="en-GB"/>
        </w:rPr>
      </w:pPr>
      <w:r w:rsidRPr="00EE3208">
        <w:rPr>
          <w:i/>
        </w:rPr>
        <w:lastRenderedPageBreak/>
        <w:t>In addition, the AGM notes the promising work being undertaken by the Royal Statistical Society (RSS) and others on progressing a new Household Inflation Index (HII) and the endorsement of those efforts by the National Statistician; the AGM welcomes these developments and instructs the Executive Committee to maintain a watching brief on the work on the HII and to consult with constituent organisations and/or the AGM when there is clarity on the status of the HII.</w:t>
      </w:r>
      <w:r>
        <w:rPr>
          <w:i/>
        </w:rPr>
        <w:t>”</w:t>
      </w:r>
      <w:r w:rsidRPr="00EE3208">
        <w:rPr>
          <w:i/>
        </w:rPr>
        <w:t xml:space="preserve">   </w:t>
      </w:r>
    </w:p>
    <w:p w14:paraId="04FAB403" w14:textId="77777777" w:rsidR="00481FEA" w:rsidRDefault="00481FEA" w:rsidP="006B2209">
      <w:pPr>
        <w:jc w:val="both"/>
      </w:pPr>
    </w:p>
    <w:p w14:paraId="20D89462" w14:textId="77777777" w:rsidR="00481FEA" w:rsidRDefault="00481FEA" w:rsidP="006B2209">
      <w:pPr>
        <w:jc w:val="both"/>
      </w:pPr>
    </w:p>
    <w:p w14:paraId="347E16F7" w14:textId="7F799AEC" w:rsidR="00AF2BEA" w:rsidRPr="006B2209" w:rsidRDefault="00422504" w:rsidP="006B2209">
      <w:pPr>
        <w:jc w:val="both"/>
      </w:pPr>
      <w:r w:rsidRPr="006B2209">
        <w:t xml:space="preserve">The motion stated </w:t>
      </w:r>
      <w:r w:rsidR="00D44B57" w:rsidRPr="006B2209">
        <w:t>that the PSPC should engage with Government Pensions Scheme providers to ask that the CPI (H) be included as a measure for uprating pensions, whilst we reserve our position on the Household Inflation Index, which requires further work.</w:t>
      </w:r>
      <w:r w:rsidRPr="006B2209">
        <w:t xml:space="preserve"> </w:t>
      </w:r>
    </w:p>
    <w:p w14:paraId="6443C0F8" w14:textId="77777777" w:rsidR="00AF2BEA" w:rsidRPr="006B2209" w:rsidRDefault="00AF2BEA" w:rsidP="006B2209">
      <w:pPr>
        <w:jc w:val="both"/>
      </w:pPr>
    </w:p>
    <w:p w14:paraId="164ECFA0" w14:textId="53B11568" w:rsidR="008E00E5" w:rsidRPr="006B2209" w:rsidRDefault="00B56E08" w:rsidP="006B2209">
      <w:pPr>
        <w:jc w:val="both"/>
      </w:pPr>
      <w:r>
        <w:t xml:space="preserve">The Executive Committee </w:t>
      </w:r>
      <w:r w:rsidR="00422504" w:rsidRPr="006B2209">
        <w:t>ha</w:t>
      </w:r>
      <w:r>
        <w:t>s</w:t>
      </w:r>
      <w:r w:rsidR="00422504" w:rsidRPr="006B2209">
        <w:t xml:space="preserve"> been monitoring the rates of CPI, RPI and CPI</w:t>
      </w:r>
      <w:r w:rsidR="00192D26" w:rsidRPr="006B2209">
        <w:t xml:space="preserve"> </w:t>
      </w:r>
      <w:r w:rsidR="00422504" w:rsidRPr="006B2209">
        <w:t xml:space="preserve">(H) </w:t>
      </w:r>
      <w:r w:rsidR="00AF2BEA" w:rsidRPr="006B2209">
        <w:t>over the past months</w:t>
      </w:r>
      <w:r>
        <w:t>,</w:t>
      </w:r>
      <w:r w:rsidR="00AF2BEA" w:rsidRPr="006B2209">
        <w:t xml:space="preserve"> </w:t>
      </w:r>
      <w:r w:rsidR="00422504" w:rsidRPr="006B2209">
        <w:t xml:space="preserve">and have also written to the Chief Secretary of the Treasury to clarify and draw attention to the use of different rates of inflation </w:t>
      </w:r>
      <w:r w:rsidR="00AF2BEA" w:rsidRPr="006B2209">
        <w:t>for different purposes.</w:t>
      </w:r>
      <w:r w:rsidR="008E00E5" w:rsidRPr="006B2209">
        <w:t xml:space="preserve"> </w:t>
      </w:r>
    </w:p>
    <w:p w14:paraId="687FE552" w14:textId="77777777" w:rsidR="008E00E5" w:rsidRPr="006B2209" w:rsidRDefault="008E00E5" w:rsidP="006B2209">
      <w:pPr>
        <w:jc w:val="both"/>
      </w:pPr>
    </w:p>
    <w:p w14:paraId="0D8D5D79" w14:textId="117FB4AB" w:rsidR="008B6D1E" w:rsidRPr="006B2209" w:rsidRDefault="008E00E5" w:rsidP="006B2209">
      <w:pPr>
        <w:jc w:val="both"/>
      </w:pPr>
      <w:r w:rsidRPr="006B2209">
        <w:t>C</w:t>
      </w:r>
      <w:r w:rsidR="00192D26" w:rsidRPr="006B2209">
        <w:t>opies of these letters have been circulated</w:t>
      </w:r>
      <w:r w:rsidR="00DC3F58" w:rsidRPr="006B2209">
        <w:t xml:space="preserve"> with campaigns updates</w:t>
      </w:r>
      <w:r w:rsidR="006D6056" w:rsidRPr="006B2209">
        <w:t xml:space="preserve">, </w:t>
      </w:r>
      <w:r w:rsidR="00192D26" w:rsidRPr="006B2209">
        <w:t>and are also on the website</w:t>
      </w:r>
      <w:r w:rsidRPr="006B2209">
        <w:t xml:space="preserve"> </w:t>
      </w:r>
      <w:r w:rsidR="00DC3F58" w:rsidRPr="006B2209">
        <w:t>for you to see</w:t>
      </w:r>
      <w:r w:rsidR="00B56E08">
        <w:t>. The</w:t>
      </w:r>
      <w:r w:rsidRPr="006B2209">
        <w:t xml:space="preserve"> general gist of them is that</w:t>
      </w:r>
      <w:r w:rsidR="00DC3F58" w:rsidRPr="006B2209">
        <w:t xml:space="preserve"> although the </w:t>
      </w:r>
      <w:r w:rsidRPr="006B2209">
        <w:t>Government</w:t>
      </w:r>
      <w:r w:rsidR="00DC3F58" w:rsidRPr="006B2209">
        <w:t xml:space="preserve"> is aware that the RPI is flawed, it </w:t>
      </w:r>
      <w:r w:rsidRPr="006B2209">
        <w:t>will</w:t>
      </w:r>
      <w:r w:rsidR="00DC3F58" w:rsidRPr="006B2209">
        <w:t xml:space="preserve"> not review its </w:t>
      </w:r>
      <w:r w:rsidRPr="006B2209">
        <w:t xml:space="preserve">use of RPI for indirect taxes </w:t>
      </w:r>
      <w:r w:rsidR="006D6056" w:rsidRPr="006B2209">
        <w:t>(</w:t>
      </w:r>
      <w:r w:rsidR="00DC3F58" w:rsidRPr="006B2209">
        <w:t xml:space="preserve">for example air passenger duty) until </w:t>
      </w:r>
      <w:r w:rsidR="00735CC2">
        <w:t>“</w:t>
      </w:r>
      <w:r w:rsidR="00DC3F58" w:rsidRPr="006B2209">
        <w:t>fiscal consolidation</w:t>
      </w:r>
      <w:r w:rsidR="00735CC2">
        <w:t>”</w:t>
      </w:r>
      <w:r w:rsidR="00DC3F58" w:rsidRPr="006B2209">
        <w:t xml:space="preserve"> is complete</w:t>
      </w:r>
      <w:r w:rsidR="006D6056" w:rsidRPr="006B2209">
        <w:t xml:space="preserve">, </w:t>
      </w:r>
      <w:r w:rsidR="00DC3F58" w:rsidRPr="006B2209">
        <w:t xml:space="preserve">or in English, </w:t>
      </w:r>
      <w:r w:rsidR="008B6D1E" w:rsidRPr="006B2209">
        <w:t xml:space="preserve">once </w:t>
      </w:r>
      <w:r w:rsidR="00DC3F58" w:rsidRPr="006B2209">
        <w:t xml:space="preserve">National </w:t>
      </w:r>
      <w:r w:rsidR="00B56E08">
        <w:t>D</w:t>
      </w:r>
      <w:r w:rsidR="00DC3F58" w:rsidRPr="006B2209">
        <w:t>ebt levels fall</w:t>
      </w:r>
      <w:r w:rsidR="006D6056" w:rsidRPr="006B2209">
        <w:t>.</w:t>
      </w:r>
      <w:r w:rsidR="003A1650" w:rsidRPr="006B2209">
        <w:t xml:space="preserve"> </w:t>
      </w:r>
    </w:p>
    <w:p w14:paraId="0347A6E7" w14:textId="77777777" w:rsidR="008B6D1E" w:rsidRPr="006B2209" w:rsidRDefault="008B6D1E" w:rsidP="006B2209">
      <w:pPr>
        <w:jc w:val="both"/>
      </w:pPr>
    </w:p>
    <w:p w14:paraId="6EDAAB61" w14:textId="77777777" w:rsidR="00063465" w:rsidRPr="006B2209" w:rsidRDefault="00063465" w:rsidP="006B2209">
      <w:pPr>
        <w:jc w:val="both"/>
      </w:pPr>
      <w:r w:rsidRPr="006B2209">
        <w:t xml:space="preserve">The use of RPI by Transport Companies and on student loan repayments is not of concern to the Government, even though the Governor of the Bank of England has echoed the calls of the National Statistician to stop </w:t>
      </w:r>
      <w:r w:rsidR="008B6D1E" w:rsidRPr="006B2209">
        <w:t xml:space="preserve">the </w:t>
      </w:r>
      <w:r w:rsidRPr="006B2209">
        <w:t>use of RPI.</w:t>
      </w:r>
      <w:r w:rsidR="008B6D1E" w:rsidRPr="006B2209">
        <w:t xml:space="preserve"> </w:t>
      </w:r>
      <w:r w:rsidR="008370D9" w:rsidRPr="006B2209">
        <w:t xml:space="preserve">They will not intervene for example with Commercial Companies like EE, a mobile phone provider using RPI to increase prices, because Ofcom allows them to use RPI at their annual price setting review. </w:t>
      </w:r>
    </w:p>
    <w:p w14:paraId="55EDA2AC" w14:textId="77777777" w:rsidR="00C94B2C" w:rsidRPr="006B2209" w:rsidRDefault="00C94B2C" w:rsidP="006B2209">
      <w:pPr>
        <w:jc w:val="both"/>
      </w:pPr>
    </w:p>
    <w:p w14:paraId="188689C3" w14:textId="537BD653" w:rsidR="00D44B57" w:rsidRPr="006B2209" w:rsidRDefault="008B6D1E" w:rsidP="006B2209">
      <w:pPr>
        <w:jc w:val="both"/>
      </w:pPr>
      <w:r w:rsidRPr="006B2209">
        <w:t>The u</w:t>
      </w:r>
      <w:r w:rsidR="003A1650" w:rsidRPr="006B2209">
        <w:t>se of CPI</w:t>
      </w:r>
      <w:r w:rsidR="00D7473D" w:rsidRPr="006B2209">
        <w:t xml:space="preserve"> </w:t>
      </w:r>
      <w:r w:rsidR="003A1650" w:rsidRPr="006B2209">
        <w:t xml:space="preserve">(H) </w:t>
      </w:r>
      <w:r w:rsidRPr="006B2209">
        <w:t>as an alternative measure does not show sufficient signs of stability for the Government to adopt its use</w:t>
      </w:r>
      <w:r w:rsidR="00C94B2C" w:rsidRPr="006B2209">
        <w:t>,</w:t>
      </w:r>
      <w:r w:rsidRPr="006B2209">
        <w:t xml:space="preserve"> and so </w:t>
      </w:r>
      <w:r w:rsidR="00C94B2C" w:rsidRPr="006B2209">
        <w:t xml:space="preserve">we will continue to </w:t>
      </w:r>
      <w:r w:rsidRPr="006B2209">
        <w:t>review and observ</w:t>
      </w:r>
      <w:r w:rsidR="00C94B2C" w:rsidRPr="006B2209">
        <w:t xml:space="preserve">e developments. Our recent </w:t>
      </w:r>
      <w:r w:rsidR="008370D9" w:rsidRPr="006B2209">
        <w:t xml:space="preserve">monitoring shows that it has been </w:t>
      </w:r>
      <w:r w:rsidR="00B80920">
        <w:t xml:space="preserve">lower that CPI in recent months </w:t>
      </w:r>
      <w:r w:rsidR="008370D9" w:rsidRPr="006B2209">
        <w:t xml:space="preserve">and this would not be a good outcome for pension increases. </w:t>
      </w:r>
    </w:p>
    <w:p w14:paraId="7C5FB92E" w14:textId="77777777" w:rsidR="00C94B2C" w:rsidRPr="006B2209" w:rsidRDefault="00C94B2C" w:rsidP="006B2209">
      <w:pPr>
        <w:jc w:val="both"/>
      </w:pPr>
    </w:p>
    <w:p w14:paraId="7F501484" w14:textId="50D9FFF9" w:rsidR="00DA367D" w:rsidRPr="006B2209" w:rsidRDefault="00CC2B4F" w:rsidP="006B2209">
      <w:pPr>
        <w:jc w:val="both"/>
      </w:pPr>
      <w:r w:rsidRPr="006B2209">
        <w:t xml:space="preserve">Household Cost </w:t>
      </w:r>
      <w:r w:rsidR="00C94B2C" w:rsidRPr="006B2209">
        <w:t>I</w:t>
      </w:r>
      <w:r w:rsidRPr="006B2209">
        <w:t>ndices (also referred to as Household Inflation Indices) have just been introduced by the Office National Statistics (</w:t>
      </w:r>
      <w:r w:rsidR="00C94B2C" w:rsidRPr="006B2209">
        <w:t>ONS</w:t>
      </w:r>
      <w:r w:rsidRPr="006B2209">
        <w:t>) to show how prices are changing for different household types. The new indices allow changes in the cost of household outgoings to be compared with changes in their incomes</w:t>
      </w:r>
      <w:r w:rsidR="008658DD" w:rsidRPr="006B2209">
        <w:t>. An example given for retired households states that costs between 2006 and 2016 rose by 31% but that incomes grew by 41%. Over the same period, the costs facing non-retired households grew by 27% while the incomes of these households grew by 26%.</w:t>
      </w:r>
      <w:r w:rsidR="002005EE" w:rsidRPr="006B2209">
        <w:t xml:space="preserve"> The ONS is also working on an all Households index which in view of these figures would presumably work more </w:t>
      </w:r>
      <w:r w:rsidR="00367B86" w:rsidRPr="006B2209">
        <w:t>favo</w:t>
      </w:r>
      <w:r w:rsidR="00367B86">
        <w:t>u</w:t>
      </w:r>
      <w:r w:rsidR="00367B86" w:rsidRPr="006B2209">
        <w:t>rably</w:t>
      </w:r>
      <w:r w:rsidR="002005EE" w:rsidRPr="006B2209">
        <w:t xml:space="preserve"> for PSPC members</w:t>
      </w:r>
      <w:r w:rsidR="009D4093" w:rsidRPr="006B2209">
        <w:t>. The EC will monitor and review these figures</w:t>
      </w:r>
      <w:r w:rsidR="00B80920">
        <w:t xml:space="preserve"> and keep you informed</w:t>
      </w:r>
      <w:r w:rsidR="009D4093" w:rsidRPr="006B2209">
        <w:t>.</w:t>
      </w:r>
    </w:p>
    <w:p w14:paraId="3E300111" w14:textId="77777777" w:rsidR="008658DD" w:rsidRPr="006B2209" w:rsidRDefault="008658DD" w:rsidP="006B2209">
      <w:pPr>
        <w:jc w:val="both"/>
      </w:pPr>
    </w:p>
    <w:p w14:paraId="4F76BF41" w14:textId="0A1D855D" w:rsidR="00DA367D" w:rsidRPr="000D4895" w:rsidRDefault="006B2209" w:rsidP="00DA367D">
      <w:pPr>
        <w:spacing w:after="160" w:line="254" w:lineRule="auto"/>
        <w:jc w:val="both"/>
        <w:rPr>
          <w:rFonts w:cs="Arial"/>
          <w:b/>
          <w:sz w:val="28"/>
          <w:szCs w:val="28"/>
        </w:rPr>
      </w:pPr>
      <w:r>
        <w:rPr>
          <w:rFonts w:cs="Arial"/>
          <w:b/>
          <w:sz w:val="28"/>
          <w:szCs w:val="28"/>
        </w:rPr>
        <w:t>U</w:t>
      </w:r>
      <w:commentRangeStart w:id="0"/>
      <w:r w:rsidR="00DA367D" w:rsidRPr="000D4895">
        <w:rPr>
          <w:rFonts w:cs="Arial"/>
          <w:b/>
          <w:sz w:val="28"/>
          <w:szCs w:val="28"/>
        </w:rPr>
        <w:t>niversal</w:t>
      </w:r>
      <w:commentRangeEnd w:id="0"/>
      <w:r w:rsidR="001D1548">
        <w:rPr>
          <w:rStyle w:val="CommentReference"/>
        </w:rPr>
        <w:commentReference w:id="0"/>
      </w:r>
      <w:r w:rsidR="00DA367D" w:rsidRPr="000D4895">
        <w:rPr>
          <w:rFonts w:cs="Arial"/>
          <w:b/>
          <w:sz w:val="28"/>
          <w:szCs w:val="28"/>
        </w:rPr>
        <w:t xml:space="preserve"> Pensioner Benefits </w:t>
      </w:r>
    </w:p>
    <w:p w14:paraId="722E4F9B" w14:textId="53F5A95F" w:rsidR="00050FB2" w:rsidRPr="00050FB2" w:rsidRDefault="006B2209" w:rsidP="00050FB2">
      <w:pPr>
        <w:jc w:val="both"/>
      </w:pPr>
      <w:r w:rsidRPr="001360AA">
        <w:t xml:space="preserve">As I mentioned in my introduction, the results of the </w:t>
      </w:r>
      <w:r w:rsidR="00DA367D" w:rsidRPr="001360AA">
        <w:t xml:space="preserve">General Election </w:t>
      </w:r>
      <w:r w:rsidRPr="001360AA">
        <w:t xml:space="preserve">held on </w:t>
      </w:r>
      <w:r w:rsidR="00DA367D" w:rsidRPr="001360AA">
        <w:t>June 8th</w:t>
      </w:r>
      <w:r w:rsidRPr="001360AA">
        <w:t xml:space="preserve"> 2017 have meant that Universal Pensioner Benefits are protected for now. </w:t>
      </w:r>
      <w:r w:rsidR="00050FB2" w:rsidRPr="001360AA">
        <w:t>The Conservatives signed a deal with the Democratic Unionists after two weeks of talks when the election resulted in a hung parliament. The</w:t>
      </w:r>
      <w:r w:rsidR="00050FB2" w:rsidRPr="00050FB2">
        <w:t xml:space="preserve"> deal will see the triple lock on state pensions and existing universal winter fuel payments maintained throughout the UK.</w:t>
      </w:r>
    </w:p>
    <w:p w14:paraId="74AE718E" w14:textId="069B10CF" w:rsidR="00DA367D" w:rsidRPr="001360AA" w:rsidRDefault="006B2209" w:rsidP="00DA367D">
      <w:pPr>
        <w:jc w:val="both"/>
      </w:pPr>
      <w:r w:rsidRPr="001360AA">
        <w:t xml:space="preserve">Brexit of course continues to loom over everything and </w:t>
      </w:r>
      <w:r w:rsidR="00DA367D" w:rsidRPr="001360AA">
        <w:t xml:space="preserve">PSPC will continue to lobby to protect </w:t>
      </w:r>
      <w:r w:rsidR="00050FB2" w:rsidRPr="001360AA">
        <w:t>U</w:t>
      </w:r>
      <w:r w:rsidR="00DA367D" w:rsidRPr="001360AA">
        <w:t xml:space="preserve">niversal </w:t>
      </w:r>
      <w:r w:rsidR="00050FB2" w:rsidRPr="001360AA">
        <w:t>P</w:t>
      </w:r>
      <w:r w:rsidR="00DA367D" w:rsidRPr="001360AA">
        <w:t xml:space="preserve">ensioner </w:t>
      </w:r>
      <w:r w:rsidR="00050FB2" w:rsidRPr="001360AA">
        <w:t>B</w:t>
      </w:r>
      <w:r w:rsidR="00DA367D" w:rsidRPr="001360AA">
        <w:t xml:space="preserve">enefits, including free TV </w:t>
      </w:r>
      <w:r w:rsidR="00050FB2" w:rsidRPr="001360AA">
        <w:t>licen</w:t>
      </w:r>
      <w:r w:rsidR="00D555C8" w:rsidRPr="001360AA">
        <w:t>c</w:t>
      </w:r>
      <w:r w:rsidR="00050FB2" w:rsidRPr="001360AA">
        <w:t>es</w:t>
      </w:r>
      <w:r w:rsidR="00DA367D" w:rsidRPr="001360AA">
        <w:t xml:space="preserve"> for those over 75 years old.</w:t>
      </w:r>
    </w:p>
    <w:p w14:paraId="63475370" w14:textId="77777777" w:rsidR="00DA367D" w:rsidRDefault="00DA367D" w:rsidP="00DA367D">
      <w:pPr>
        <w:spacing w:after="160" w:line="256" w:lineRule="auto"/>
        <w:contextualSpacing/>
        <w:jc w:val="both"/>
        <w:rPr>
          <w:rFonts w:ascii="Calibri" w:eastAsia="Calibri" w:hAnsi="Calibri"/>
          <w:sz w:val="22"/>
          <w:szCs w:val="22"/>
        </w:rPr>
      </w:pPr>
    </w:p>
    <w:p w14:paraId="4258DD75" w14:textId="77777777" w:rsidR="00DA367D" w:rsidRPr="000D4895" w:rsidRDefault="00DA367D" w:rsidP="00DA367D">
      <w:pPr>
        <w:spacing w:after="160" w:line="254" w:lineRule="auto"/>
        <w:jc w:val="both"/>
        <w:rPr>
          <w:rFonts w:cs="Arial"/>
          <w:b/>
          <w:sz w:val="28"/>
          <w:szCs w:val="28"/>
        </w:rPr>
      </w:pPr>
      <w:r w:rsidRPr="000D4895">
        <w:rPr>
          <w:rFonts w:cs="Arial"/>
          <w:b/>
          <w:sz w:val="28"/>
          <w:szCs w:val="28"/>
        </w:rPr>
        <w:t>State Pensioners</w:t>
      </w:r>
      <w:r>
        <w:rPr>
          <w:rFonts w:cs="Arial"/>
          <w:b/>
          <w:sz w:val="28"/>
          <w:szCs w:val="28"/>
        </w:rPr>
        <w:t xml:space="preserve"> living overseas</w:t>
      </w:r>
    </w:p>
    <w:p w14:paraId="6634AF50" w14:textId="4631EE88" w:rsidR="00DA367D" w:rsidRPr="00E062D9" w:rsidRDefault="00DA367D" w:rsidP="00E062D9">
      <w:pPr>
        <w:tabs>
          <w:tab w:val="left" w:pos="5590"/>
        </w:tabs>
      </w:pPr>
      <w:r w:rsidRPr="00E062D9">
        <w:t xml:space="preserve">The PSPC has long supported the International Consortium of British Pensioners (ICPB) in their campaign to secure fair indexation of the state pension for 544,000 British pensioners living overseas, in countries which are not party to a reciprocal social security agreement with the UK. </w:t>
      </w:r>
      <w:r w:rsidR="00275064" w:rsidRPr="00E062D9">
        <w:t>Their dilemm</w:t>
      </w:r>
      <w:r w:rsidR="00660C62" w:rsidRPr="00E062D9">
        <w:t xml:space="preserve">a was again highlighted </w:t>
      </w:r>
      <w:r w:rsidR="00275064" w:rsidRPr="00E062D9">
        <w:t xml:space="preserve">at the Heads of Commonwealth countries summit in London held in April. </w:t>
      </w:r>
    </w:p>
    <w:p w14:paraId="0E3679CA" w14:textId="77777777" w:rsidR="00DA367D" w:rsidRPr="00E062D9" w:rsidRDefault="00DA367D" w:rsidP="00E062D9">
      <w:pPr>
        <w:tabs>
          <w:tab w:val="left" w:pos="5590"/>
        </w:tabs>
      </w:pPr>
    </w:p>
    <w:p w14:paraId="5A724A25" w14:textId="47B26736" w:rsidR="00660C62" w:rsidRPr="00E062D9" w:rsidRDefault="00660C62" w:rsidP="00E062D9">
      <w:pPr>
        <w:tabs>
          <w:tab w:val="left" w:pos="5590"/>
        </w:tabs>
      </w:pPr>
      <w:r w:rsidRPr="00E062D9">
        <w:t xml:space="preserve">The decision to leave the EU has also thrown up questions on the position of 476,000 pensioners currently retired in EU countries and PSPC has outlined this concern in </w:t>
      </w:r>
      <w:r w:rsidR="002C2FC9">
        <w:t>its letter to David Davis. The D</w:t>
      </w:r>
      <w:r w:rsidRPr="00E062D9">
        <w:t xml:space="preserve">epartment for </w:t>
      </w:r>
      <w:r w:rsidR="002C2FC9">
        <w:t>E</w:t>
      </w:r>
      <w:r w:rsidRPr="00E062D9">
        <w:t xml:space="preserve">xiting the EU has stated that it has every </w:t>
      </w:r>
      <w:r w:rsidR="00627C91" w:rsidRPr="00E062D9">
        <w:t>i</w:t>
      </w:r>
      <w:r w:rsidRPr="00E062D9">
        <w:t xml:space="preserve">ntention of </w:t>
      </w:r>
      <w:r w:rsidR="00627C91" w:rsidRPr="00E062D9">
        <w:t>continuing to pay and uprate State Pensions for those resident in EU countries, subject to a reciprocal deal with the EU.</w:t>
      </w:r>
      <w:r w:rsidRPr="00E062D9">
        <w:t xml:space="preserve"> </w:t>
      </w:r>
    </w:p>
    <w:p w14:paraId="51AF02D5" w14:textId="77777777" w:rsidR="00660C62" w:rsidRPr="00E062D9" w:rsidRDefault="00660C62" w:rsidP="00E062D9">
      <w:pPr>
        <w:tabs>
          <w:tab w:val="left" w:pos="5590"/>
        </w:tabs>
      </w:pPr>
    </w:p>
    <w:p w14:paraId="5AEAF92C" w14:textId="77777777" w:rsidR="00DA367D" w:rsidRPr="00E062D9" w:rsidRDefault="00DA367D" w:rsidP="00E062D9">
      <w:pPr>
        <w:tabs>
          <w:tab w:val="left" w:pos="5590"/>
        </w:tabs>
      </w:pPr>
      <w:r w:rsidRPr="00E062D9">
        <w:t>Britain’s desire for new trade deals after Brexit might offer the best opportunity for change for those currently affected. It is highly likely that frozen pensions will be raised in the context of future trade negotiations.</w:t>
      </w:r>
    </w:p>
    <w:p w14:paraId="0365EF12" w14:textId="77777777" w:rsidR="00DA367D" w:rsidRPr="00E062D9" w:rsidRDefault="00DA367D" w:rsidP="00E062D9">
      <w:pPr>
        <w:tabs>
          <w:tab w:val="left" w:pos="5590"/>
        </w:tabs>
      </w:pPr>
    </w:p>
    <w:p w14:paraId="74EF0F83" w14:textId="77777777" w:rsidR="00DA367D" w:rsidRPr="00E062D9" w:rsidRDefault="00DA367D" w:rsidP="00E062D9">
      <w:pPr>
        <w:tabs>
          <w:tab w:val="left" w:pos="5590"/>
        </w:tabs>
      </w:pPr>
    </w:p>
    <w:p w14:paraId="12330C1B" w14:textId="77777777" w:rsidR="00DA367D" w:rsidRPr="00E062D9" w:rsidRDefault="00DA367D" w:rsidP="00E062D9">
      <w:pPr>
        <w:tabs>
          <w:tab w:val="left" w:pos="5590"/>
        </w:tabs>
        <w:rPr>
          <w:b/>
        </w:rPr>
      </w:pPr>
      <w:r w:rsidRPr="00E062D9">
        <w:rPr>
          <w:b/>
        </w:rPr>
        <w:t>WASPI - Women against State Pension Inequality Campaign</w:t>
      </w:r>
    </w:p>
    <w:p w14:paraId="4B64107F" w14:textId="4774877A" w:rsidR="00DA367D" w:rsidRPr="00E062D9" w:rsidRDefault="00E062D9" w:rsidP="00E062D9">
      <w:pPr>
        <w:tabs>
          <w:tab w:val="left" w:pos="1680"/>
        </w:tabs>
        <w:rPr>
          <w:b/>
        </w:rPr>
      </w:pPr>
      <w:r w:rsidRPr="00E062D9">
        <w:rPr>
          <w:b/>
        </w:rPr>
        <w:tab/>
      </w:r>
    </w:p>
    <w:p w14:paraId="58D9A3D0" w14:textId="20E8BA19" w:rsidR="00DA367D" w:rsidRPr="00E062D9" w:rsidRDefault="00DA367D" w:rsidP="00E062D9">
      <w:pPr>
        <w:tabs>
          <w:tab w:val="left" w:pos="5590"/>
        </w:tabs>
      </w:pPr>
      <w:r w:rsidRPr="00E062D9">
        <w:t xml:space="preserve">The PSPC are continuing to support the campaign established by WASPI (Women Against State Pension Inequality) around the acceleration of state pension age under the 2011 Pensions Act. This did not allow the women affected enough time to make alternative financial plans. </w:t>
      </w:r>
      <w:r w:rsidR="0060796D" w:rsidRPr="00E062D9">
        <w:t>Their campaign is growing s</w:t>
      </w:r>
      <w:r w:rsidR="002C2FC9">
        <w:t xml:space="preserve">tronger, </w:t>
      </w:r>
      <w:r w:rsidR="0060796D" w:rsidRPr="00E062D9">
        <w:t xml:space="preserve">but unfortunately there is </w:t>
      </w:r>
      <w:r w:rsidR="00B6232F" w:rsidRPr="00E062D9">
        <w:t xml:space="preserve">still </w:t>
      </w:r>
      <w:r w:rsidR="0060796D" w:rsidRPr="00E062D9">
        <w:t>no s</w:t>
      </w:r>
      <w:r w:rsidR="00B6232F" w:rsidRPr="00E062D9">
        <w:t>olution to their dilemma</w:t>
      </w:r>
      <w:r w:rsidR="0060796D" w:rsidRPr="00E062D9">
        <w:t>. Th</w:t>
      </w:r>
      <w:r w:rsidR="00B6232F" w:rsidRPr="00E062D9">
        <w:t xml:space="preserve">e Council recently responded to the </w:t>
      </w:r>
      <w:r w:rsidR="0060796D" w:rsidRPr="00E062D9">
        <w:t>Labour Party Consultation</w:t>
      </w:r>
      <w:r w:rsidR="00F52A9C" w:rsidRPr="00E062D9">
        <w:t xml:space="preserve">: </w:t>
      </w:r>
      <w:r w:rsidR="00F52A9C" w:rsidRPr="002C2FC9">
        <w:rPr>
          <w:i/>
        </w:rPr>
        <w:t>Dignity and Security in Older Age: The State Pension</w:t>
      </w:r>
      <w:r w:rsidR="00A76EAE" w:rsidRPr="00E062D9">
        <w:t>. In our response we called for all those women adversely affected to be properly and fully recompensed.</w:t>
      </w:r>
    </w:p>
    <w:p w14:paraId="65E74AD0" w14:textId="77777777" w:rsidR="00D34CEA" w:rsidRPr="00E062D9" w:rsidRDefault="00D34CEA" w:rsidP="00E062D9">
      <w:pPr>
        <w:tabs>
          <w:tab w:val="left" w:pos="5590"/>
        </w:tabs>
      </w:pPr>
    </w:p>
    <w:p w14:paraId="636AA1F4" w14:textId="77777777" w:rsidR="00DA367D" w:rsidRPr="00E062D9" w:rsidRDefault="00DA367D" w:rsidP="00E062D9">
      <w:pPr>
        <w:tabs>
          <w:tab w:val="left" w:pos="5590"/>
        </w:tabs>
        <w:rPr>
          <w:b/>
        </w:rPr>
      </w:pPr>
      <w:r w:rsidRPr="00E062D9">
        <w:rPr>
          <w:b/>
        </w:rPr>
        <w:t>Survivor Benefits</w:t>
      </w:r>
    </w:p>
    <w:p w14:paraId="05CB91E5" w14:textId="77777777" w:rsidR="00B6232F" w:rsidRPr="00E062D9" w:rsidRDefault="00B6232F" w:rsidP="00E062D9">
      <w:pPr>
        <w:tabs>
          <w:tab w:val="left" w:pos="5590"/>
        </w:tabs>
      </w:pPr>
    </w:p>
    <w:p w14:paraId="29E8D5D6" w14:textId="77777777" w:rsidR="007A4020" w:rsidRPr="00E062D9" w:rsidRDefault="00B6232F" w:rsidP="00E062D9">
      <w:pPr>
        <w:tabs>
          <w:tab w:val="left" w:pos="5590"/>
        </w:tabs>
      </w:pPr>
      <w:r w:rsidRPr="00E062D9">
        <w:t xml:space="preserve">During the year, constituent members have been kept </w:t>
      </w:r>
      <w:r w:rsidR="00E15A3D" w:rsidRPr="00E062D9">
        <w:t xml:space="preserve">updated with developments </w:t>
      </w:r>
      <w:r w:rsidR="007A4020" w:rsidRPr="00E062D9">
        <w:t>in court cases concerning P</w:t>
      </w:r>
      <w:r w:rsidR="00367B86" w:rsidRPr="00E062D9">
        <w:t>ublic Sector Pensions</w:t>
      </w:r>
    </w:p>
    <w:p w14:paraId="5A85D5BD" w14:textId="77777777" w:rsidR="00BB5041" w:rsidRPr="00E062D9" w:rsidRDefault="00BB5041" w:rsidP="00E062D9">
      <w:pPr>
        <w:tabs>
          <w:tab w:val="left" w:pos="5590"/>
        </w:tabs>
      </w:pPr>
    </w:p>
    <w:p w14:paraId="26283866" w14:textId="3CD6B95F" w:rsidR="00367B86" w:rsidRDefault="00BB5041" w:rsidP="00E062D9">
      <w:pPr>
        <w:tabs>
          <w:tab w:val="left" w:pos="5590"/>
        </w:tabs>
      </w:pPr>
      <w:r w:rsidRPr="00E062D9">
        <w:t xml:space="preserve">To recap, one case concerned a </w:t>
      </w:r>
      <w:r w:rsidR="00367B86" w:rsidRPr="00E062D9">
        <w:t xml:space="preserve">Mr Walker </w:t>
      </w:r>
      <w:r w:rsidRPr="00E062D9">
        <w:t xml:space="preserve">who </w:t>
      </w:r>
      <w:r w:rsidR="00367B86" w:rsidRPr="00E062D9">
        <w:t>took legal action as he wanted to ensure that, should he die first, his husband would receive an adequate pension.</w:t>
      </w:r>
    </w:p>
    <w:p w14:paraId="1B3824EE" w14:textId="77777777" w:rsidR="002C2FC9" w:rsidRPr="00E062D9" w:rsidRDefault="002C2FC9" w:rsidP="00E062D9">
      <w:pPr>
        <w:tabs>
          <w:tab w:val="left" w:pos="5590"/>
        </w:tabs>
      </w:pPr>
    </w:p>
    <w:p w14:paraId="70085DBE" w14:textId="505773CA" w:rsidR="00367B86" w:rsidRPr="00E062D9" w:rsidRDefault="00BB5041" w:rsidP="00E062D9">
      <w:pPr>
        <w:tabs>
          <w:tab w:val="left" w:pos="5590"/>
        </w:tabs>
      </w:pPr>
      <w:r w:rsidRPr="00E062D9">
        <w:t xml:space="preserve">Many </w:t>
      </w:r>
      <w:r w:rsidR="00367B86" w:rsidRPr="00E062D9">
        <w:t>occupational pension schemes give 50% of the value of a pension to a spouse for the rest of their lives after their husband or wife dies - without taking the marriage date into account.</w:t>
      </w:r>
    </w:p>
    <w:p w14:paraId="0356DB5A" w14:textId="58B164EB" w:rsidR="00D34CEA" w:rsidRPr="00E062D9" w:rsidRDefault="00BB5041" w:rsidP="00E062D9">
      <w:pPr>
        <w:tabs>
          <w:tab w:val="left" w:pos="5590"/>
        </w:tabs>
      </w:pPr>
      <w:r w:rsidRPr="00E062D9">
        <w:t>T</w:t>
      </w:r>
      <w:r w:rsidR="00367B86" w:rsidRPr="00E062D9">
        <w:t xml:space="preserve">he Equality Act 2010 </w:t>
      </w:r>
      <w:r w:rsidRPr="00E062D9">
        <w:t xml:space="preserve">made </w:t>
      </w:r>
      <w:r w:rsidR="00367B86" w:rsidRPr="00E062D9">
        <w:t>an exemption for employers, allowing them to exclude service of civil partners from spousal benefits before December 2005 (when civil partnerships became legal in the UK)</w:t>
      </w:r>
      <w:r w:rsidR="002C2FC9">
        <w:t xml:space="preserve"> </w:t>
      </w:r>
      <w:r w:rsidR="00367B86" w:rsidRPr="00E062D9">
        <w:t>The Supreme Court has now ruled the exemption under the 2010 Act is "</w:t>
      </w:r>
      <w:r w:rsidRPr="00E062D9">
        <w:t>incompatible with EU law"</w:t>
      </w:r>
    </w:p>
    <w:p w14:paraId="7BDF7DE9" w14:textId="77777777" w:rsidR="00D34CEA" w:rsidRPr="00E062D9" w:rsidRDefault="00D34CEA" w:rsidP="00E062D9">
      <w:pPr>
        <w:tabs>
          <w:tab w:val="left" w:pos="5590"/>
        </w:tabs>
      </w:pPr>
    </w:p>
    <w:p w14:paraId="2A268B12" w14:textId="3055E165" w:rsidR="00367B86" w:rsidRPr="00E062D9" w:rsidRDefault="00367B86" w:rsidP="00E062D9">
      <w:pPr>
        <w:tabs>
          <w:tab w:val="left" w:pos="5590"/>
        </w:tabs>
      </w:pPr>
      <w:r w:rsidRPr="00E062D9">
        <w:t>HM Treasury is considering the position of all Public Service Pension Schemes</w:t>
      </w:r>
      <w:r w:rsidR="00D34CEA" w:rsidRPr="00E062D9">
        <w:t xml:space="preserve"> in the light of this ruling. We</w:t>
      </w:r>
      <w:r w:rsidR="00BB5041" w:rsidRPr="00E062D9">
        <w:t xml:space="preserve"> are keeping our eye on developments</w:t>
      </w:r>
      <w:r w:rsidR="00E062D9">
        <w:t xml:space="preserve"> and will keep you all informed via campaign updates</w:t>
      </w:r>
      <w:r w:rsidR="00673977" w:rsidRPr="00E062D9">
        <w:t>.</w:t>
      </w:r>
      <w:r w:rsidR="00B819F0">
        <w:t xml:space="preserve"> A motion to be considered at the AGM covers this. </w:t>
      </w:r>
    </w:p>
    <w:p w14:paraId="6CBFB73E" w14:textId="77777777" w:rsidR="00E062D9" w:rsidRDefault="00E062D9" w:rsidP="00E062D9">
      <w:pPr>
        <w:tabs>
          <w:tab w:val="left" w:pos="5590"/>
        </w:tabs>
        <w:rPr>
          <w:b/>
        </w:rPr>
      </w:pPr>
    </w:p>
    <w:p w14:paraId="287961FD" w14:textId="77777777" w:rsidR="002C2FC9" w:rsidRDefault="002C2FC9" w:rsidP="00E062D9">
      <w:pPr>
        <w:tabs>
          <w:tab w:val="left" w:pos="5590"/>
        </w:tabs>
        <w:rPr>
          <w:b/>
        </w:rPr>
      </w:pPr>
    </w:p>
    <w:p w14:paraId="53B0FFD9" w14:textId="77777777" w:rsidR="002C2FC9" w:rsidRDefault="002C2FC9" w:rsidP="00E062D9">
      <w:pPr>
        <w:tabs>
          <w:tab w:val="left" w:pos="5590"/>
        </w:tabs>
        <w:rPr>
          <w:b/>
        </w:rPr>
      </w:pPr>
    </w:p>
    <w:p w14:paraId="485418F9" w14:textId="77777777" w:rsidR="002C2FC9" w:rsidRDefault="002C2FC9" w:rsidP="00E062D9">
      <w:pPr>
        <w:tabs>
          <w:tab w:val="left" w:pos="5590"/>
        </w:tabs>
        <w:rPr>
          <w:b/>
        </w:rPr>
      </w:pPr>
    </w:p>
    <w:p w14:paraId="5D4EECEF" w14:textId="77777777" w:rsidR="002C2FC9" w:rsidRDefault="002C2FC9" w:rsidP="00E062D9">
      <w:pPr>
        <w:tabs>
          <w:tab w:val="left" w:pos="5590"/>
        </w:tabs>
        <w:rPr>
          <w:b/>
        </w:rPr>
      </w:pPr>
    </w:p>
    <w:p w14:paraId="195F059D" w14:textId="77777777" w:rsidR="00673977" w:rsidRPr="00E062D9" w:rsidRDefault="00673977" w:rsidP="00E062D9">
      <w:pPr>
        <w:tabs>
          <w:tab w:val="left" w:pos="5590"/>
        </w:tabs>
        <w:rPr>
          <w:b/>
        </w:rPr>
      </w:pPr>
      <w:r w:rsidRPr="00E062D9">
        <w:rPr>
          <w:b/>
        </w:rPr>
        <w:t>Pension survivor benefits - nomination forms</w:t>
      </w:r>
    </w:p>
    <w:p w14:paraId="0E01C2CD" w14:textId="77777777" w:rsidR="00673977" w:rsidRPr="00E062D9" w:rsidRDefault="00673977" w:rsidP="00E062D9">
      <w:pPr>
        <w:tabs>
          <w:tab w:val="left" w:pos="5590"/>
        </w:tabs>
        <w:rPr>
          <w:b/>
        </w:rPr>
      </w:pPr>
    </w:p>
    <w:p w14:paraId="4E70574E" w14:textId="77777777" w:rsidR="00673977" w:rsidRPr="00E062D9" w:rsidRDefault="00673977" w:rsidP="00E062D9">
      <w:pPr>
        <w:tabs>
          <w:tab w:val="left" w:pos="5590"/>
        </w:tabs>
      </w:pPr>
      <w:r w:rsidRPr="00E062D9">
        <w:t>Some of you may remember the case of Denise Brewster, 42, who successfully challenged a ruling that she was not automatically entitled to a ‘survivor’s pension’ as she would have been, were she married to her partner when he died.</w:t>
      </w:r>
    </w:p>
    <w:p w14:paraId="24347DA5" w14:textId="46D238A8" w:rsidR="00673977" w:rsidRPr="00E062D9" w:rsidRDefault="00673977" w:rsidP="00E062D9">
      <w:pPr>
        <w:tabs>
          <w:tab w:val="left" w:pos="5590"/>
        </w:tabs>
      </w:pPr>
      <w:r w:rsidRPr="00E062D9">
        <w:t xml:space="preserve"> </w:t>
      </w:r>
      <w:r w:rsidRPr="00E062D9">
        <w:br/>
        <w:t xml:space="preserve">Pension schemes are now considering how this may apply to their members. The requirement for formal nomination of a co-habiting partner has already been removed for the Local Government Pension Scheme in England, Wales and Scotland. </w:t>
      </w:r>
    </w:p>
    <w:p w14:paraId="7868256A" w14:textId="77777777" w:rsidR="00673977" w:rsidRPr="00E062D9" w:rsidRDefault="00673977" w:rsidP="00E062D9">
      <w:pPr>
        <w:tabs>
          <w:tab w:val="left" w:pos="5590"/>
        </w:tabs>
      </w:pPr>
    </w:p>
    <w:p w14:paraId="0CC4E781" w14:textId="77777777" w:rsidR="00673977" w:rsidRPr="00E062D9" w:rsidRDefault="00673977" w:rsidP="00E062D9">
      <w:pPr>
        <w:tabs>
          <w:tab w:val="left" w:pos="5590"/>
        </w:tabs>
      </w:pPr>
      <w:r w:rsidRPr="00E062D9">
        <w:t>Administering authorities are required to be satisfied that certain conditions are met when considering paying a survivor’s pension. Many schemes use a 'notification' form as part of this process but its completion is not a requirement. However, a formal nomination continues to exist in other public sector schemes, including for teachers and civil servants, so there will be implications for those schemes from this judgment.</w:t>
      </w:r>
    </w:p>
    <w:p w14:paraId="3CF8FCC1" w14:textId="77777777" w:rsidR="00BB5041" w:rsidRPr="00E062D9" w:rsidRDefault="00BB5041" w:rsidP="00E062D9">
      <w:pPr>
        <w:tabs>
          <w:tab w:val="left" w:pos="5590"/>
        </w:tabs>
      </w:pPr>
    </w:p>
    <w:p w14:paraId="515ED5C3" w14:textId="77777777" w:rsidR="00673977" w:rsidRPr="00E062D9" w:rsidRDefault="00367B86" w:rsidP="00E062D9">
      <w:pPr>
        <w:tabs>
          <w:tab w:val="left" w:pos="5590"/>
        </w:tabs>
        <w:rPr>
          <w:b/>
        </w:rPr>
      </w:pPr>
      <w:r w:rsidRPr="00E062D9">
        <w:rPr>
          <w:b/>
        </w:rPr>
        <w:t>Pensions for life</w:t>
      </w:r>
    </w:p>
    <w:p w14:paraId="23B1EE02" w14:textId="3E3B7C5F" w:rsidR="00367B86" w:rsidRPr="00E062D9" w:rsidRDefault="00367B86" w:rsidP="00E062D9">
      <w:pPr>
        <w:tabs>
          <w:tab w:val="left" w:pos="5590"/>
        </w:tabs>
      </w:pPr>
      <w:r w:rsidRPr="00E062D9">
        <w:t xml:space="preserve"> </w:t>
      </w:r>
    </w:p>
    <w:p w14:paraId="7C048C9A" w14:textId="53991305" w:rsidR="00367B86" w:rsidRPr="00E062D9" w:rsidRDefault="00367B86" w:rsidP="00E062D9">
      <w:pPr>
        <w:tabs>
          <w:tab w:val="left" w:pos="5590"/>
        </w:tabs>
      </w:pPr>
      <w:r w:rsidRPr="00E062D9">
        <w:t xml:space="preserve">Several constituent </w:t>
      </w:r>
      <w:r w:rsidR="002C2FC9" w:rsidRPr="00E062D9">
        <w:t>organizations</w:t>
      </w:r>
      <w:r w:rsidRPr="00E062D9">
        <w:t xml:space="preserve"> are working to try and secure pensions for life, so that widows and widowers who remarry or cohabit, can continue to receive their widow(er)s pension. The provision of pensions for life varies in public sector pension schemes.</w:t>
      </w:r>
    </w:p>
    <w:p w14:paraId="5681B13B" w14:textId="77777777" w:rsidR="00673977" w:rsidRPr="00E062D9" w:rsidRDefault="00673977" w:rsidP="00E062D9">
      <w:pPr>
        <w:tabs>
          <w:tab w:val="left" w:pos="5590"/>
        </w:tabs>
      </w:pPr>
    </w:p>
    <w:p w14:paraId="126013FE" w14:textId="42A0BD98" w:rsidR="00367B86" w:rsidRPr="00E062D9" w:rsidRDefault="00367B86" w:rsidP="00E062D9">
      <w:pPr>
        <w:tabs>
          <w:tab w:val="left" w:pos="5590"/>
        </w:tabs>
        <w:rPr>
          <w:b/>
        </w:rPr>
      </w:pPr>
      <w:r w:rsidRPr="00E062D9">
        <w:rPr>
          <w:b/>
        </w:rPr>
        <w:t xml:space="preserve">Reconciliation of Guaranteed </w:t>
      </w:r>
      <w:r w:rsidR="00BE3E14">
        <w:rPr>
          <w:b/>
        </w:rPr>
        <w:t>Minimum</w:t>
      </w:r>
      <w:bookmarkStart w:id="1" w:name="_GoBack"/>
      <w:bookmarkEnd w:id="1"/>
      <w:r w:rsidRPr="00E062D9">
        <w:rPr>
          <w:b/>
        </w:rPr>
        <w:t xml:space="preserve"> Pension (GMP)</w:t>
      </w:r>
    </w:p>
    <w:p w14:paraId="3990E9A4" w14:textId="77777777" w:rsidR="00673977" w:rsidRPr="00E062D9" w:rsidRDefault="00673977" w:rsidP="00E062D9">
      <w:pPr>
        <w:tabs>
          <w:tab w:val="left" w:pos="5590"/>
        </w:tabs>
      </w:pPr>
    </w:p>
    <w:p w14:paraId="0AEBA4D5" w14:textId="77777777" w:rsidR="00367B86" w:rsidRPr="00E062D9" w:rsidRDefault="00367B86" w:rsidP="00E062D9">
      <w:pPr>
        <w:tabs>
          <w:tab w:val="left" w:pos="5590"/>
        </w:tabs>
      </w:pPr>
      <w:r w:rsidRPr="00E062D9">
        <w:t xml:space="preserve">Members of public service pension schemes, which opted out of the second state pension may be contacted by their pension administrator next year, following a reconciliation exercise on GMP. Some people who reached state pension age after 2008, may have been overpaid. This was caused by elements of increases in their occupational pensions being paid with both the occupational and state pension. Each individual scheme will be considering whether to seek reimbursement from pension recipients, and for some there will be a correction of the pension received going forward. </w:t>
      </w:r>
    </w:p>
    <w:p w14:paraId="11E5BBEA" w14:textId="77777777" w:rsidR="00E062D9" w:rsidRDefault="00E062D9" w:rsidP="00E062D9">
      <w:pPr>
        <w:tabs>
          <w:tab w:val="left" w:pos="5590"/>
        </w:tabs>
      </w:pPr>
    </w:p>
    <w:p w14:paraId="75F8DBF4" w14:textId="618B4576" w:rsidR="00B6232F" w:rsidRPr="00E062D9" w:rsidRDefault="00542941" w:rsidP="00E062D9">
      <w:pPr>
        <w:tabs>
          <w:tab w:val="left" w:pos="5590"/>
        </w:tabs>
        <w:rPr>
          <w:b/>
        </w:rPr>
      </w:pPr>
      <w:r w:rsidRPr="00E062D9">
        <w:rPr>
          <w:b/>
        </w:rPr>
        <w:t>G</w:t>
      </w:r>
      <w:r w:rsidR="00E062D9">
        <w:rPr>
          <w:b/>
        </w:rPr>
        <w:t>overnment consultation on upra</w:t>
      </w:r>
      <w:r w:rsidRPr="00E062D9">
        <w:rPr>
          <w:b/>
        </w:rPr>
        <w:t>ting</w:t>
      </w:r>
      <w:r w:rsidR="00E062D9">
        <w:rPr>
          <w:b/>
        </w:rPr>
        <w:t xml:space="preserve"> and equali</w:t>
      </w:r>
      <w:r w:rsidR="0027586C">
        <w:rPr>
          <w:b/>
        </w:rPr>
        <w:t>z</w:t>
      </w:r>
      <w:r w:rsidR="00E062D9">
        <w:rPr>
          <w:b/>
        </w:rPr>
        <w:t xml:space="preserve">ation of </w:t>
      </w:r>
      <w:r w:rsidRPr="00E062D9">
        <w:rPr>
          <w:b/>
        </w:rPr>
        <w:t>GMP</w:t>
      </w:r>
    </w:p>
    <w:p w14:paraId="266FD751" w14:textId="77777777" w:rsidR="00542941" w:rsidRPr="00E062D9" w:rsidRDefault="00542941" w:rsidP="00E062D9">
      <w:pPr>
        <w:tabs>
          <w:tab w:val="left" w:pos="5590"/>
        </w:tabs>
      </w:pPr>
    </w:p>
    <w:p w14:paraId="1F230ED5" w14:textId="327B83E1" w:rsidR="00722BBE" w:rsidRPr="00551065" w:rsidRDefault="00542941" w:rsidP="00E062D9">
      <w:pPr>
        <w:tabs>
          <w:tab w:val="left" w:pos="5590"/>
        </w:tabs>
      </w:pPr>
      <w:r w:rsidRPr="00E062D9">
        <w:t xml:space="preserve">The Government has </w:t>
      </w:r>
      <w:r w:rsidR="00C454C7" w:rsidRPr="00E062D9">
        <w:t>recently</w:t>
      </w:r>
      <w:r w:rsidR="00722BBE" w:rsidRPr="00E062D9">
        <w:t xml:space="preserve"> announced the result of its</w:t>
      </w:r>
      <w:r w:rsidRPr="00E062D9">
        <w:t xml:space="preserve"> consul</w:t>
      </w:r>
      <w:r w:rsidR="00C454C7" w:rsidRPr="00E062D9">
        <w:t>t</w:t>
      </w:r>
      <w:r w:rsidRPr="00E062D9">
        <w:t xml:space="preserve">ation </w:t>
      </w:r>
      <w:r w:rsidR="00722BBE" w:rsidRPr="00E062D9">
        <w:t xml:space="preserve">on </w:t>
      </w:r>
      <w:r w:rsidR="00722BBE" w:rsidRPr="00551065">
        <w:t>how gov</w:t>
      </w:r>
      <w:r w:rsidR="00722BBE" w:rsidRPr="00E062D9">
        <w:t xml:space="preserve">ernment should continue to meet </w:t>
      </w:r>
      <w:r w:rsidR="00722BBE" w:rsidRPr="00551065">
        <w:t xml:space="preserve">its obligations to index (price protect) and </w:t>
      </w:r>
      <w:r w:rsidR="00722BBE" w:rsidRPr="00E062D9">
        <w:t xml:space="preserve">equalize </w:t>
      </w:r>
      <w:r w:rsidR="00722BBE" w:rsidRPr="00551065">
        <w:t>(make equal payments</w:t>
      </w:r>
      <w:r w:rsidR="00722BBE" w:rsidRPr="00E062D9">
        <w:t xml:space="preserve"> </w:t>
      </w:r>
      <w:r w:rsidR="00722BBE" w:rsidRPr="00551065">
        <w:t>to men and women</w:t>
      </w:r>
      <w:r w:rsidR="00722BBE" w:rsidRPr="00E062D9">
        <w:t xml:space="preserve">) </w:t>
      </w:r>
      <w:r w:rsidR="00722BBE" w:rsidRPr="00551065">
        <w:t xml:space="preserve">the pension entitlements of a group of public servants with an occupational pension known as a GMP. </w:t>
      </w:r>
    </w:p>
    <w:p w14:paraId="4293AB98" w14:textId="77777777" w:rsidR="00512E8F" w:rsidRPr="00E062D9" w:rsidRDefault="00512E8F" w:rsidP="00E062D9">
      <w:pPr>
        <w:tabs>
          <w:tab w:val="left" w:pos="5590"/>
        </w:tabs>
      </w:pPr>
    </w:p>
    <w:p w14:paraId="362ABB1D" w14:textId="0E928167" w:rsidR="00512E8F" w:rsidRPr="00E062D9" w:rsidRDefault="00722BBE" w:rsidP="00E062D9">
      <w:pPr>
        <w:tabs>
          <w:tab w:val="left" w:pos="5590"/>
        </w:tabs>
      </w:pPr>
      <w:r w:rsidRPr="00551065">
        <w:t>The government consulted on three options to resolve these issues</w:t>
      </w:r>
      <w:r w:rsidR="00AC17E0">
        <w:t>:</w:t>
      </w:r>
    </w:p>
    <w:p w14:paraId="787E124D" w14:textId="77777777" w:rsidR="00091604" w:rsidRPr="00E062D9" w:rsidRDefault="00091604" w:rsidP="00E062D9">
      <w:pPr>
        <w:tabs>
          <w:tab w:val="left" w:pos="5590"/>
        </w:tabs>
      </w:pPr>
    </w:p>
    <w:p w14:paraId="3017722D" w14:textId="77777777" w:rsidR="00512E8F" w:rsidRPr="00AC17E0" w:rsidRDefault="00512E8F" w:rsidP="00AC17E0">
      <w:pPr>
        <w:pStyle w:val="ListParagraph"/>
        <w:numPr>
          <w:ilvl w:val="0"/>
          <w:numId w:val="12"/>
        </w:numPr>
        <w:tabs>
          <w:tab w:val="left" w:pos="5590"/>
        </w:tabs>
        <w:rPr>
          <w:rFonts w:ascii="Arial" w:hAnsi="Arial" w:cs="Arial"/>
          <w:sz w:val="24"/>
          <w:szCs w:val="24"/>
          <w:lang w:val="en-US"/>
        </w:rPr>
      </w:pPr>
      <w:r w:rsidRPr="00AC17E0">
        <w:rPr>
          <w:rFonts w:ascii="Arial" w:hAnsi="Arial" w:cs="Arial"/>
          <w:sz w:val="24"/>
          <w:szCs w:val="24"/>
        </w:rPr>
        <w:t xml:space="preserve">Case by case basis </w:t>
      </w:r>
    </w:p>
    <w:p w14:paraId="765AFF61" w14:textId="398C6A58" w:rsidR="00512E8F" w:rsidRPr="00AC17E0" w:rsidRDefault="00512E8F" w:rsidP="00AC17E0">
      <w:pPr>
        <w:pStyle w:val="ListParagraph"/>
        <w:numPr>
          <w:ilvl w:val="0"/>
          <w:numId w:val="12"/>
        </w:numPr>
        <w:tabs>
          <w:tab w:val="left" w:pos="5590"/>
        </w:tabs>
        <w:rPr>
          <w:rFonts w:ascii="Arial" w:hAnsi="Arial" w:cs="Arial"/>
          <w:sz w:val="24"/>
          <w:szCs w:val="24"/>
        </w:rPr>
      </w:pPr>
      <w:r w:rsidRPr="00AC17E0">
        <w:rPr>
          <w:rFonts w:ascii="Arial" w:hAnsi="Arial" w:cs="Arial"/>
          <w:sz w:val="24"/>
          <w:szCs w:val="24"/>
        </w:rPr>
        <w:t>Fu</w:t>
      </w:r>
      <w:r w:rsidR="00AC17E0">
        <w:rPr>
          <w:rFonts w:ascii="Arial" w:hAnsi="Arial" w:cs="Arial"/>
          <w:sz w:val="24"/>
          <w:szCs w:val="24"/>
        </w:rPr>
        <w:t>ll indexation paid with Public S</w:t>
      </w:r>
      <w:r w:rsidRPr="00AC17E0">
        <w:rPr>
          <w:rFonts w:ascii="Arial" w:hAnsi="Arial" w:cs="Arial"/>
          <w:sz w:val="24"/>
          <w:szCs w:val="24"/>
        </w:rPr>
        <w:t>ervice Pension</w:t>
      </w:r>
    </w:p>
    <w:p w14:paraId="1C04178A" w14:textId="36AB8BF8" w:rsidR="00512E8F" w:rsidRPr="00AC17E0" w:rsidRDefault="00512E8F" w:rsidP="00AC17E0">
      <w:pPr>
        <w:pStyle w:val="ListParagraph"/>
        <w:numPr>
          <w:ilvl w:val="0"/>
          <w:numId w:val="12"/>
        </w:numPr>
        <w:tabs>
          <w:tab w:val="left" w:pos="5590"/>
        </w:tabs>
        <w:rPr>
          <w:rFonts w:ascii="Arial" w:hAnsi="Arial" w:cs="Arial"/>
          <w:sz w:val="24"/>
          <w:szCs w:val="24"/>
        </w:rPr>
      </w:pPr>
      <w:r w:rsidRPr="00AC17E0">
        <w:rPr>
          <w:rFonts w:ascii="Arial" w:hAnsi="Arial" w:cs="Arial"/>
          <w:sz w:val="24"/>
          <w:szCs w:val="24"/>
        </w:rPr>
        <w:t>Conversion on a 1:1 basis of GMP into a public service pension benefit</w:t>
      </w:r>
    </w:p>
    <w:p w14:paraId="0A093E21" w14:textId="1FA6CB70" w:rsidR="00722BBE" w:rsidRPr="00AC17E0" w:rsidRDefault="00722BBE" w:rsidP="00AC17E0">
      <w:pPr>
        <w:tabs>
          <w:tab w:val="left" w:pos="5590"/>
        </w:tabs>
        <w:rPr>
          <w:rFonts w:cs="Arial"/>
        </w:rPr>
      </w:pPr>
    </w:p>
    <w:p w14:paraId="5CDB17BC" w14:textId="7FAF49EE" w:rsidR="00722BBE" w:rsidRPr="00551065" w:rsidRDefault="002C2FC9" w:rsidP="00E062D9">
      <w:pPr>
        <w:tabs>
          <w:tab w:val="left" w:pos="5590"/>
        </w:tabs>
      </w:pPr>
      <w:r>
        <w:t xml:space="preserve">A </w:t>
      </w:r>
      <w:r w:rsidR="00722BBE" w:rsidRPr="00551065">
        <w:t xml:space="preserve">“interim solution” </w:t>
      </w:r>
      <w:r>
        <w:t xml:space="preserve">is being operated </w:t>
      </w:r>
      <w:r w:rsidR="00722BBE" w:rsidRPr="00551065">
        <w:t>between</w:t>
      </w:r>
      <w:r w:rsidR="00092B6A" w:rsidRPr="00E062D9">
        <w:t xml:space="preserve"> </w:t>
      </w:r>
      <w:r w:rsidR="00722BBE" w:rsidRPr="00551065">
        <w:t>6 April 2016 and 5 December 2018</w:t>
      </w:r>
      <w:r w:rsidR="00722BBE" w:rsidRPr="00E062D9">
        <w:t xml:space="preserve"> that GMPs earned in public service would be fully indexed by th</w:t>
      </w:r>
      <w:r w:rsidR="00AC17E0">
        <w:t>e public service pension scheme. The</w:t>
      </w:r>
      <w:r w:rsidR="00722BBE" w:rsidRPr="00551065">
        <w:t xml:space="preserve"> outcome of th</w:t>
      </w:r>
      <w:r w:rsidR="00AC17E0">
        <w:t>e</w:t>
      </w:r>
      <w:r w:rsidR="00722BBE" w:rsidRPr="00551065">
        <w:t xml:space="preserve"> consultation is that this solution will be extended for a further two years and four months</w:t>
      </w:r>
      <w:r w:rsidR="00722BBE" w:rsidRPr="00E062D9">
        <w:t xml:space="preserve"> up until April 2021</w:t>
      </w:r>
      <w:r w:rsidR="00722BBE" w:rsidRPr="00551065">
        <w:t>.During this period, the government will investigate the po</w:t>
      </w:r>
      <w:r w:rsidR="00722BBE" w:rsidRPr="00E062D9">
        <w:t>ssibility of an alternative long</w:t>
      </w:r>
      <w:r w:rsidR="00722BBE" w:rsidRPr="00551065">
        <w:t>-term methodology, known as “conversion"</w:t>
      </w:r>
      <w:r w:rsidR="00890474" w:rsidRPr="00E062D9">
        <w:t xml:space="preserve"> whereby GMP </w:t>
      </w:r>
      <w:r w:rsidR="00512E8F" w:rsidRPr="00E062D9">
        <w:t xml:space="preserve">is </w:t>
      </w:r>
      <w:r w:rsidR="00890474" w:rsidRPr="00E062D9">
        <w:t xml:space="preserve">converted </w:t>
      </w:r>
      <w:r w:rsidR="00512E8F" w:rsidRPr="00E062D9">
        <w:t>into a normal public service scheme benefit.</w:t>
      </w:r>
    </w:p>
    <w:p w14:paraId="206C0732" w14:textId="77777777" w:rsidR="00551065" w:rsidRPr="00E062D9" w:rsidRDefault="00551065" w:rsidP="00E062D9">
      <w:pPr>
        <w:tabs>
          <w:tab w:val="left" w:pos="5590"/>
        </w:tabs>
      </w:pPr>
    </w:p>
    <w:p w14:paraId="5E659BF9" w14:textId="78224098" w:rsidR="00DA367D" w:rsidRPr="00AC17E0" w:rsidRDefault="00551065" w:rsidP="00E062D9">
      <w:pPr>
        <w:tabs>
          <w:tab w:val="left" w:pos="5590"/>
        </w:tabs>
        <w:rPr>
          <w:b/>
        </w:rPr>
      </w:pPr>
      <w:r w:rsidRPr="00AC17E0">
        <w:rPr>
          <w:b/>
        </w:rPr>
        <w:t>Exe</w:t>
      </w:r>
      <w:r w:rsidR="00DA367D" w:rsidRPr="00AC17E0">
        <w:rPr>
          <w:b/>
        </w:rPr>
        <w:t>cutive Committee</w:t>
      </w:r>
    </w:p>
    <w:p w14:paraId="5B8B2B3B" w14:textId="77777777" w:rsidR="00FA39AD" w:rsidRPr="00E062D9" w:rsidRDefault="00FA39AD" w:rsidP="00E062D9">
      <w:pPr>
        <w:tabs>
          <w:tab w:val="left" w:pos="5590"/>
        </w:tabs>
      </w:pPr>
    </w:p>
    <w:p w14:paraId="6E9FF6F7" w14:textId="6710AD51" w:rsidR="00DA367D" w:rsidRPr="00E062D9" w:rsidRDefault="00DA367D" w:rsidP="00E062D9">
      <w:pPr>
        <w:tabs>
          <w:tab w:val="left" w:pos="5590"/>
        </w:tabs>
      </w:pPr>
      <w:r w:rsidRPr="00E062D9">
        <w:t xml:space="preserve">During the past year, the Executive Committee has met four times to co-ordinate the above work to protect the interests of public service pensioners.  As always, thanks are due to Brian Sturtevant, Chair of PSPC, </w:t>
      </w:r>
      <w:r w:rsidR="00E149EA" w:rsidRPr="00E062D9">
        <w:t xml:space="preserve">Steve Edwards, Treasurer, Carol </w:t>
      </w:r>
      <w:r w:rsidRPr="00E062D9">
        <w:t>Regan, Vice Chair and the other PSPC officers and members of the Executive Committee</w:t>
      </w:r>
      <w:r w:rsidR="00E149EA" w:rsidRPr="00E062D9">
        <w:t xml:space="preserve">. </w:t>
      </w:r>
      <w:r w:rsidRPr="00E062D9">
        <w:t xml:space="preserve">The General Secretary is also grateful for the support of Marion McAuliffe and Mike Duggan and Linda Smith, Minutes Secretary at CSPA HQ. </w:t>
      </w:r>
    </w:p>
    <w:p w14:paraId="09D24431" w14:textId="77777777" w:rsidR="00DA367D" w:rsidRPr="00E062D9" w:rsidRDefault="00DA367D" w:rsidP="00E062D9">
      <w:pPr>
        <w:tabs>
          <w:tab w:val="left" w:pos="5590"/>
        </w:tabs>
      </w:pPr>
    </w:p>
    <w:p w14:paraId="628EB2FD" w14:textId="77777777" w:rsidR="00DA367D" w:rsidRPr="00E062D9" w:rsidRDefault="00DA367D" w:rsidP="00E062D9">
      <w:pPr>
        <w:tabs>
          <w:tab w:val="left" w:pos="5590"/>
        </w:tabs>
      </w:pPr>
    </w:p>
    <w:p w14:paraId="17756DAD" w14:textId="77777777" w:rsidR="00CC264C" w:rsidRPr="00E062D9" w:rsidRDefault="00CC264C" w:rsidP="00CE6EE3">
      <w:pPr>
        <w:tabs>
          <w:tab w:val="left" w:pos="5590"/>
        </w:tabs>
      </w:pPr>
    </w:p>
    <w:p w14:paraId="0EFD508E" w14:textId="77777777" w:rsidR="00F90351" w:rsidRPr="00E062D9" w:rsidRDefault="00F90351" w:rsidP="00E062D9">
      <w:pPr>
        <w:tabs>
          <w:tab w:val="left" w:pos="5590"/>
        </w:tabs>
      </w:pPr>
    </w:p>
    <w:p w14:paraId="27080EBC" w14:textId="77777777" w:rsidR="00F90351" w:rsidRPr="00E062D9" w:rsidRDefault="00F90351" w:rsidP="00E062D9">
      <w:pPr>
        <w:tabs>
          <w:tab w:val="left" w:pos="5590"/>
        </w:tabs>
      </w:pPr>
    </w:p>
    <w:p w14:paraId="7B2A1025" w14:textId="77777777" w:rsidR="00F90351" w:rsidRPr="00F90351" w:rsidRDefault="00F90351" w:rsidP="00E062D9">
      <w:pPr>
        <w:tabs>
          <w:tab w:val="left" w:pos="5590"/>
        </w:tabs>
      </w:pPr>
    </w:p>
    <w:p w14:paraId="17BA5115" w14:textId="77777777" w:rsidR="00F90351" w:rsidRPr="00F90351" w:rsidRDefault="00F90351" w:rsidP="00E062D9">
      <w:pPr>
        <w:tabs>
          <w:tab w:val="left" w:pos="5590"/>
        </w:tabs>
      </w:pPr>
    </w:p>
    <w:p w14:paraId="61C54CFF" w14:textId="77777777" w:rsidR="00F90351" w:rsidRPr="00F90351" w:rsidRDefault="00F90351" w:rsidP="00E062D9">
      <w:pPr>
        <w:tabs>
          <w:tab w:val="left" w:pos="5590"/>
        </w:tabs>
      </w:pPr>
    </w:p>
    <w:p w14:paraId="6927BF95" w14:textId="77777777" w:rsidR="00F90351" w:rsidRPr="00F90351" w:rsidRDefault="00F90351" w:rsidP="00E062D9">
      <w:pPr>
        <w:tabs>
          <w:tab w:val="left" w:pos="5590"/>
        </w:tabs>
      </w:pPr>
    </w:p>
    <w:p w14:paraId="34ED9504" w14:textId="77777777" w:rsidR="00F90351" w:rsidRPr="00F90351" w:rsidRDefault="00F90351" w:rsidP="00E062D9">
      <w:pPr>
        <w:tabs>
          <w:tab w:val="left" w:pos="5590"/>
        </w:tabs>
      </w:pPr>
    </w:p>
    <w:p w14:paraId="197A84C9" w14:textId="77777777" w:rsidR="00F90351" w:rsidRPr="00F90351" w:rsidRDefault="00F90351" w:rsidP="00E062D9">
      <w:pPr>
        <w:tabs>
          <w:tab w:val="left" w:pos="5590"/>
        </w:tabs>
      </w:pPr>
    </w:p>
    <w:p w14:paraId="0C44CDB1" w14:textId="77777777" w:rsidR="00F90351" w:rsidRPr="00F90351" w:rsidRDefault="00F90351" w:rsidP="00E062D9">
      <w:pPr>
        <w:tabs>
          <w:tab w:val="left" w:pos="5590"/>
        </w:tabs>
      </w:pPr>
    </w:p>
    <w:p w14:paraId="4693BB65" w14:textId="77777777" w:rsidR="00F90351" w:rsidRPr="00F90351" w:rsidRDefault="00F90351" w:rsidP="00E062D9">
      <w:pPr>
        <w:tabs>
          <w:tab w:val="left" w:pos="5590"/>
        </w:tabs>
      </w:pPr>
    </w:p>
    <w:p w14:paraId="2C88DF18" w14:textId="77777777" w:rsidR="00F90351" w:rsidRPr="00F90351" w:rsidRDefault="00F90351" w:rsidP="00E062D9">
      <w:pPr>
        <w:tabs>
          <w:tab w:val="left" w:pos="5590"/>
        </w:tabs>
      </w:pPr>
    </w:p>
    <w:p w14:paraId="19E3678D" w14:textId="77777777" w:rsidR="00F90351" w:rsidRPr="00F90351" w:rsidRDefault="00F90351" w:rsidP="00E062D9">
      <w:pPr>
        <w:tabs>
          <w:tab w:val="left" w:pos="5590"/>
        </w:tabs>
      </w:pPr>
    </w:p>
    <w:p w14:paraId="440838CE" w14:textId="77777777" w:rsidR="00F90351" w:rsidRPr="00F90351" w:rsidRDefault="00F90351" w:rsidP="00E062D9">
      <w:pPr>
        <w:tabs>
          <w:tab w:val="left" w:pos="5590"/>
        </w:tabs>
      </w:pPr>
    </w:p>
    <w:p w14:paraId="0A78139A" w14:textId="77777777" w:rsidR="00F90351" w:rsidRPr="00F90351" w:rsidRDefault="00F90351" w:rsidP="00E062D9">
      <w:pPr>
        <w:tabs>
          <w:tab w:val="left" w:pos="5590"/>
        </w:tabs>
      </w:pPr>
    </w:p>
    <w:p w14:paraId="3B94A97A" w14:textId="77777777" w:rsidR="00F90351" w:rsidRPr="00F90351" w:rsidRDefault="00F90351" w:rsidP="00E062D9">
      <w:pPr>
        <w:tabs>
          <w:tab w:val="left" w:pos="5590"/>
        </w:tabs>
      </w:pPr>
    </w:p>
    <w:p w14:paraId="51367F71" w14:textId="77777777" w:rsidR="00F90351" w:rsidRPr="00F90351" w:rsidRDefault="00F90351" w:rsidP="00E062D9">
      <w:pPr>
        <w:tabs>
          <w:tab w:val="left" w:pos="5590"/>
        </w:tabs>
      </w:pPr>
    </w:p>
    <w:p w14:paraId="32C3EEE3" w14:textId="77777777" w:rsidR="00F90351" w:rsidRPr="00F90351" w:rsidRDefault="00F90351" w:rsidP="00E062D9">
      <w:pPr>
        <w:tabs>
          <w:tab w:val="left" w:pos="5590"/>
        </w:tabs>
      </w:pPr>
    </w:p>
    <w:p w14:paraId="21B05654" w14:textId="77777777" w:rsidR="00F90351" w:rsidRPr="00F90351" w:rsidRDefault="00F90351" w:rsidP="00E062D9">
      <w:pPr>
        <w:tabs>
          <w:tab w:val="left" w:pos="5590"/>
        </w:tabs>
      </w:pPr>
    </w:p>
    <w:p w14:paraId="04ECA285" w14:textId="77777777" w:rsidR="00F90351" w:rsidRPr="00F90351" w:rsidRDefault="00F90351" w:rsidP="00E062D9">
      <w:pPr>
        <w:tabs>
          <w:tab w:val="left" w:pos="5590"/>
        </w:tabs>
      </w:pPr>
    </w:p>
    <w:p w14:paraId="05237F2B" w14:textId="77777777" w:rsidR="00F90351" w:rsidRPr="00F90351" w:rsidRDefault="00F90351" w:rsidP="00E062D9">
      <w:pPr>
        <w:tabs>
          <w:tab w:val="left" w:pos="5590"/>
        </w:tabs>
      </w:pPr>
    </w:p>
    <w:p w14:paraId="3DD24699" w14:textId="77777777" w:rsidR="00F90351" w:rsidRPr="00F90351" w:rsidRDefault="00F90351" w:rsidP="00E062D9">
      <w:pPr>
        <w:tabs>
          <w:tab w:val="left" w:pos="5590"/>
        </w:tabs>
      </w:pPr>
    </w:p>
    <w:p w14:paraId="46EB3B57" w14:textId="77777777" w:rsidR="00F90351" w:rsidRDefault="00F90351" w:rsidP="00E062D9">
      <w:pPr>
        <w:tabs>
          <w:tab w:val="left" w:pos="5590"/>
        </w:tabs>
      </w:pPr>
    </w:p>
    <w:p w14:paraId="495057B0" w14:textId="77777777" w:rsidR="00F90351" w:rsidRDefault="00F90351" w:rsidP="00E062D9">
      <w:pPr>
        <w:tabs>
          <w:tab w:val="left" w:pos="5590"/>
        </w:tabs>
      </w:pPr>
    </w:p>
    <w:p w14:paraId="2A40E809" w14:textId="77777777" w:rsidR="00386933" w:rsidRPr="00F90351" w:rsidRDefault="00386933" w:rsidP="00E062D9">
      <w:pPr>
        <w:tabs>
          <w:tab w:val="left" w:pos="5590"/>
        </w:tabs>
      </w:pPr>
    </w:p>
    <w:sectPr w:rsidR="00386933" w:rsidRPr="00F90351" w:rsidSect="006B2209">
      <w:footerReference w:type="default" r:id="rId10"/>
      <w:headerReference w:type="first" r:id="rId11"/>
      <w:footerReference w:type="first" r:id="rId12"/>
      <w:pgSz w:w="11906" w:h="16838" w:code="9"/>
      <w:pgMar w:top="1152" w:right="864" w:bottom="1152" w:left="864" w:header="706" w:footer="43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sa Ray" w:date="2018-04-25T15:16:00Z" w:initials="LR">
    <w:p w14:paraId="24DE49F4" w14:textId="77777777" w:rsidR="00A464A1" w:rsidRDefault="00A464A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E49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C61E2" w14:textId="77777777" w:rsidR="00032410" w:rsidRDefault="00032410">
      <w:r>
        <w:separator/>
      </w:r>
    </w:p>
  </w:endnote>
  <w:endnote w:type="continuationSeparator" w:id="0">
    <w:p w14:paraId="61AC5B4C" w14:textId="77777777" w:rsidR="00032410" w:rsidRDefault="0003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817077"/>
      <w:docPartObj>
        <w:docPartGallery w:val="Page Numbers (Bottom of Page)"/>
        <w:docPartUnique/>
      </w:docPartObj>
    </w:sdtPr>
    <w:sdtEndPr>
      <w:rPr>
        <w:noProof/>
      </w:rPr>
    </w:sdtEndPr>
    <w:sdtContent>
      <w:p w14:paraId="2B8F0654" w14:textId="7E6CDDD5" w:rsidR="00A464A1" w:rsidRDefault="00A464A1">
        <w:pPr>
          <w:pStyle w:val="Footer"/>
          <w:jc w:val="right"/>
        </w:pPr>
        <w:r>
          <w:fldChar w:fldCharType="begin"/>
        </w:r>
        <w:r>
          <w:instrText xml:space="preserve"> PAGE   \* MERGEFORMAT </w:instrText>
        </w:r>
        <w:r>
          <w:fldChar w:fldCharType="separate"/>
        </w:r>
        <w:r w:rsidR="00BE3E14">
          <w:rPr>
            <w:noProof/>
          </w:rPr>
          <w:t>5</w:t>
        </w:r>
        <w:r>
          <w:rPr>
            <w:noProof/>
          </w:rPr>
          <w:fldChar w:fldCharType="end"/>
        </w:r>
      </w:p>
    </w:sdtContent>
  </w:sdt>
  <w:p w14:paraId="59DC4E21" w14:textId="77777777" w:rsidR="00A464A1" w:rsidRDefault="00A46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394"/>
    </w:tblGrid>
    <w:tr w:rsidR="00A464A1" w14:paraId="753CE4E3" w14:textId="77777777" w:rsidTr="006B2209">
      <w:trPr>
        <w:trHeight w:val="360"/>
        <w:jc w:val="center"/>
      </w:trPr>
      <w:tc>
        <w:tcPr>
          <w:tcW w:w="10394" w:type="dxa"/>
          <w:shd w:val="clear" w:color="auto" w:fill="800080"/>
          <w:vAlign w:val="center"/>
        </w:tcPr>
        <w:p w14:paraId="0A1C2826" w14:textId="77777777" w:rsidR="00A464A1" w:rsidRPr="00FE214B" w:rsidRDefault="00A464A1" w:rsidP="006B220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14:paraId="3C25C350" w14:textId="77777777" w:rsidR="00A464A1" w:rsidRDefault="00A464A1" w:rsidP="006B2209">
    <w:pPr>
      <w:spacing w:line="120" w:lineRule="exact"/>
      <w:jc w:val="both"/>
      <w:rPr>
        <w:rFonts w:cs="Arial"/>
        <w:sz w:val="12"/>
      </w:rPr>
    </w:pPr>
  </w:p>
  <w:p w14:paraId="0FC2AECE" w14:textId="77777777" w:rsidR="00A464A1" w:rsidRPr="005C7A12" w:rsidRDefault="00A464A1" w:rsidP="006B2209">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2" w:name="OLE_LINK1"/>
    <w:bookmarkStart w:id="3" w:name="OLE_LINK2"/>
    <w:r w:rsidRPr="005C7A12">
      <w:rPr>
        <w:rFonts w:cs="Arial"/>
        <w:sz w:val="12"/>
        <w:szCs w:val="12"/>
      </w:rPr>
      <w:t>•</w:t>
    </w:r>
    <w:bookmarkEnd w:id="2"/>
    <w:bookmarkEnd w:id="3"/>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7B767" w14:textId="77777777" w:rsidR="00032410" w:rsidRDefault="00032410">
      <w:r>
        <w:separator/>
      </w:r>
    </w:p>
  </w:footnote>
  <w:footnote w:type="continuationSeparator" w:id="0">
    <w:p w14:paraId="071D66FB" w14:textId="77777777" w:rsidR="00032410" w:rsidRDefault="0003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B8219" w14:textId="77777777" w:rsidR="00A464A1" w:rsidRDefault="00A464A1" w:rsidP="006B2209">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14:anchorId="0DCFDB8C" wp14:editId="7A2651B6">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9BABD" w14:textId="77777777" w:rsidR="00A464A1" w:rsidRDefault="00A464A1"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CFDB8C"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14:paraId="2B19BABD" w14:textId="77777777" w:rsidR="00A464A1" w:rsidRDefault="00A464A1"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14:paraId="2F1AE19C" w14:textId="77777777" w:rsidR="00A464A1" w:rsidRPr="005C7A12" w:rsidRDefault="00A464A1" w:rsidP="006B2209">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A464A1" w14:paraId="6A08A9E5" w14:textId="77777777" w:rsidTr="006B2209">
      <w:trPr>
        <w:trHeight w:val="360"/>
        <w:jc w:val="center"/>
      </w:trPr>
      <w:tc>
        <w:tcPr>
          <w:tcW w:w="10944" w:type="dxa"/>
          <w:tcBorders>
            <w:top w:val="nil"/>
            <w:left w:val="nil"/>
            <w:bottom w:val="nil"/>
            <w:right w:val="nil"/>
          </w:tcBorders>
          <w:shd w:val="clear" w:color="auto" w:fill="0C0C0C"/>
          <w:vAlign w:val="center"/>
        </w:tcPr>
        <w:p w14:paraId="354DE022" w14:textId="77777777" w:rsidR="00A464A1" w:rsidRDefault="00A464A1" w:rsidP="006B2209">
          <w:pPr>
            <w:pStyle w:val="Subtitle"/>
            <w:rPr>
              <w:color w:val="FFFFFF"/>
            </w:rPr>
          </w:pPr>
          <w:r>
            <w:rPr>
              <w:color w:val="FFFFFF"/>
            </w:rPr>
            <w:t xml:space="preserve">c/o Civil Service Pensioners’ Alliance, Grosvenor House, 125 High Street, Croydon, CR0 9XP </w:t>
          </w:r>
        </w:p>
        <w:p w14:paraId="079C569D" w14:textId="77777777" w:rsidR="00A464A1" w:rsidRDefault="00A464A1" w:rsidP="006B2209">
          <w:pPr>
            <w:pStyle w:val="Subtitle"/>
            <w:rPr>
              <w:color w:val="FFFFFF"/>
            </w:rPr>
          </w:pPr>
          <w:r>
            <w:rPr>
              <w:color w:val="FFFFFF"/>
            </w:rPr>
            <w:t>Telephone: 020 8688 8418 Fax: 020 8760 9806</w:t>
          </w:r>
        </w:p>
        <w:p w14:paraId="13B38BD8" w14:textId="77777777" w:rsidR="00A464A1" w:rsidRPr="005013FF" w:rsidRDefault="00A464A1" w:rsidP="006B2209">
          <w:pPr>
            <w:pStyle w:val="Subtitle"/>
            <w:rPr>
              <w:color w:val="FFFFFF"/>
            </w:rPr>
          </w:pPr>
          <w:r w:rsidRPr="005013FF">
            <w:rPr>
              <w:color w:val="FFFFFF"/>
            </w:rPr>
            <w:t>www</w:t>
          </w:r>
          <w:r>
            <w:rPr>
              <w:color w:val="FFFFFF"/>
            </w:rPr>
            <w:t>.publicservicepensioners.org.uk</w:t>
          </w:r>
        </w:p>
      </w:tc>
    </w:tr>
  </w:tbl>
  <w:p w14:paraId="696A9A85" w14:textId="77777777" w:rsidR="00A464A1" w:rsidRDefault="00A464A1" w:rsidP="006B2209">
    <w:pPr>
      <w:jc w:val="both"/>
      <w:rPr>
        <w:rFonts w:cs="Arial"/>
        <w:color w:val="800080"/>
      </w:rPr>
    </w:pPr>
  </w:p>
  <w:p w14:paraId="39B6C279" w14:textId="77777777" w:rsidR="00A464A1" w:rsidRDefault="00A464A1" w:rsidP="006B2209">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1CE"/>
    <w:multiLevelType w:val="hybridMultilevel"/>
    <w:tmpl w:val="30E0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C70DA"/>
    <w:multiLevelType w:val="hybridMultilevel"/>
    <w:tmpl w:val="7B58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580A"/>
    <w:multiLevelType w:val="hybridMultilevel"/>
    <w:tmpl w:val="608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05652"/>
    <w:multiLevelType w:val="hybridMultilevel"/>
    <w:tmpl w:val="A0A8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757EC"/>
    <w:multiLevelType w:val="hybridMultilevel"/>
    <w:tmpl w:val="5DD2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71AF0"/>
    <w:multiLevelType w:val="hybridMultilevel"/>
    <w:tmpl w:val="1CBE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14C08"/>
    <w:multiLevelType w:val="hybridMultilevel"/>
    <w:tmpl w:val="0B04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916CF"/>
    <w:multiLevelType w:val="hybridMultilevel"/>
    <w:tmpl w:val="C512D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020E7B"/>
    <w:multiLevelType w:val="hybridMultilevel"/>
    <w:tmpl w:val="545E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C35E7"/>
    <w:multiLevelType w:val="multilevel"/>
    <w:tmpl w:val="3FF036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
  </w:num>
  <w:num w:numId="5">
    <w:abstractNumId w:val="9"/>
  </w:num>
  <w:num w:numId="6">
    <w:abstractNumId w:val="5"/>
  </w:num>
  <w:num w:numId="7">
    <w:abstractNumId w:val="7"/>
  </w:num>
  <w:num w:numId="8">
    <w:abstractNumId w:val="10"/>
  </w:num>
  <w:num w:numId="9">
    <w:abstractNumId w:val="8"/>
  </w:num>
  <w:num w:numId="10">
    <w:abstractNumId w:val="0"/>
  </w:num>
  <w:num w:numId="11">
    <w:abstractNumId w:val="6"/>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ay">
    <w15:presenceInfo w15:providerId="AD" w15:userId="S-1-5-21-2955415030-2001260841-3367775121-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74"/>
    <w:rsid w:val="0000784C"/>
    <w:rsid w:val="00032410"/>
    <w:rsid w:val="00044421"/>
    <w:rsid w:val="00050FB2"/>
    <w:rsid w:val="00063465"/>
    <w:rsid w:val="00064B0C"/>
    <w:rsid w:val="00091604"/>
    <w:rsid w:val="00092B6A"/>
    <w:rsid w:val="000C25B4"/>
    <w:rsid w:val="000E709C"/>
    <w:rsid w:val="000F6B61"/>
    <w:rsid w:val="00123C89"/>
    <w:rsid w:val="001360AA"/>
    <w:rsid w:val="00192D26"/>
    <w:rsid w:val="001A2FE4"/>
    <w:rsid w:val="001C0CFA"/>
    <w:rsid w:val="001D1548"/>
    <w:rsid w:val="001E1C6E"/>
    <w:rsid w:val="002005EE"/>
    <w:rsid w:val="00275064"/>
    <w:rsid w:val="0027586C"/>
    <w:rsid w:val="00284538"/>
    <w:rsid w:val="002C2FC9"/>
    <w:rsid w:val="00314074"/>
    <w:rsid w:val="003622B2"/>
    <w:rsid w:val="00367B86"/>
    <w:rsid w:val="00385DED"/>
    <w:rsid w:val="00386933"/>
    <w:rsid w:val="003A1650"/>
    <w:rsid w:val="003D1C3F"/>
    <w:rsid w:val="003F525E"/>
    <w:rsid w:val="0042215B"/>
    <w:rsid w:val="00422504"/>
    <w:rsid w:val="00481FEA"/>
    <w:rsid w:val="004C205C"/>
    <w:rsid w:val="004C28F5"/>
    <w:rsid w:val="00512E8F"/>
    <w:rsid w:val="00542941"/>
    <w:rsid w:val="00545692"/>
    <w:rsid w:val="00551065"/>
    <w:rsid w:val="006039D6"/>
    <w:rsid w:val="0060796D"/>
    <w:rsid w:val="00627C91"/>
    <w:rsid w:val="00627F6C"/>
    <w:rsid w:val="00660C62"/>
    <w:rsid w:val="00673977"/>
    <w:rsid w:val="006B2209"/>
    <w:rsid w:val="006D6056"/>
    <w:rsid w:val="006F5EA5"/>
    <w:rsid w:val="00707ECB"/>
    <w:rsid w:val="00722BBE"/>
    <w:rsid w:val="00735CC2"/>
    <w:rsid w:val="007A4020"/>
    <w:rsid w:val="008029B0"/>
    <w:rsid w:val="008370D9"/>
    <w:rsid w:val="008658DD"/>
    <w:rsid w:val="0088764A"/>
    <w:rsid w:val="00890474"/>
    <w:rsid w:val="00897C25"/>
    <w:rsid w:val="008B6D1E"/>
    <w:rsid w:val="008E00E5"/>
    <w:rsid w:val="008F1AA2"/>
    <w:rsid w:val="00923B86"/>
    <w:rsid w:val="009C595D"/>
    <w:rsid w:val="009D4093"/>
    <w:rsid w:val="009D63D3"/>
    <w:rsid w:val="009E21CA"/>
    <w:rsid w:val="00A07AF0"/>
    <w:rsid w:val="00A109D5"/>
    <w:rsid w:val="00A46056"/>
    <w:rsid w:val="00A464A1"/>
    <w:rsid w:val="00A76EAE"/>
    <w:rsid w:val="00A941CD"/>
    <w:rsid w:val="00AC17E0"/>
    <w:rsid w:val="00AC4BD0"/>
    <w:rsid w:val="00AD0976"/>
    <w:rsid w:val="00AE7E56"/>
    <w:rsid w:val="00AF2BEA"/>
    <w:rsid w:val="00B269B2"/>
    <w:rsid w:val="00B56E08"/>
    <w:rsid w:val="00B6232F"/>
    <w:rsid w:val="00B80920"/>
    <w:rsid w:val="00B819F0"/>
    <w:rsid w:val="00B92295"/>
    <w:rsid w:val="00B9315C"/>
    <w:rsid w:val="00BB5041"/>
    <w:rsid w:val="00BB76EF"/>
    <w:rsid w:val="00BD0346"/>
    <w:rsid w:val="00BE3E14"/>
    <w:rsid w:val="00C454C7"/>
    <w:rsid w:val="00C50294"/>
    <w:rsid w:val="00C94B2C"/>
    <w:rsid w:val="00CC264C"/>
    <w:rsid w:val="00CC2B4F"/>
    <w:rsid w:val="00CE6EE3"/>
    <w:rsid w:val="00D34CEA"/>
    <w:rsid w:val="00D43BF0"/>
    <w:rsid w:val="00D44B57"/>
    <w:rsid w:val="00D555C8"/>
    <w:rsid w:val="00D7473D"/>
    <w:rsid w:val="00DA367D"/>
    <w:rsid w:val="00DC3F58"/>
    <w:rsid w:val="00DE382B"/>
    <w:rsid w:val="00E062D9"/>
    <w:rsid w:val="00E149EA"/>
    <w:rsid w:val="00E15A3D"/>
    <w:rsid w:val="00E36838"/>
    <w:rsid w:val="00EB3870"/>
    <w:rsid w:val="00F52A9C"/>
    <w:rsid w:val="00F90351"/>
    <w:rsid w:val="00FA39AD"/>
    <w:rsid w:val="00FB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19C95"/>
  <w15:docId w15:val="{010597C2-0FFC-4574-81AA-525C7B15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semiHidden/>
    <w:unhideWhenUsed/>
    <w:rsid w:val="00D43BF0"/>
    <w:rPr>
      <w:color w:val="0000FF"/>
      <w:u w:val="single"/>
    </w:rPr>
  </w:style>
  <w:style w:type="character" w:styleId="CommentReference">
    <w:name w:val="annotation reference"/>
    <w:basedOn w:val="DefaultParagraphFont"/>
    <w:uiPriority w:val="99"/>
    <w:semiHidden/>
    <w:unhideWhenUsed/>
    <w:rsid w:val="001D1548"/>
    <w:rPr>
      <w:sz w:val="16"/>
      <w:szCs w:val="16"/>
    </w:rPr>
  </w:style>
  <w:style w:type="paragraph" w:styleId="CommentText">
    <w:name w:val="annotation text"/>
    <w:basedOn w:val="Normal"/>
    <w:link w:val="CommentTextChar"/>
    <w:uiPriority w:val="99"/>
    <w:semiHidden/>
    <w:unhideWhenUsed/>
    <w:rsid w:val="001D1548"/>
    <w:rPr>
      <w:sz w:val="20"/>
      <w:szCs w:val="20"/>
    </w:rPr>
  </w:style>
  <w:style w:type="character" w:customStyle="1" w:styleId="CommentTextChar">
    <w:name w:val="Comment Text Char"/>
    <w:basedOn w:val="DefaultParagraphFont"/>
    <w:link w:val="CommentText"/>
    <w:uiPriority w:val="99"/>
    <w:semiHidden/>
    <w:rsid w:val="001D154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1548"/>
    <w:rPr>
      <w:b/>
      <w:bCs/>
    </w:rPr>
  </w:style>
  <w:style w:type="character" w:customStyle="1" w:styleId="CommentSubjectChar">
    <w:name w:val="Comment Subject Char"/>
    <w:basedOn w:val="CommentTextChar"/>
    <w:link w:val="CommentSubject"/>
    <w:uiPriority w:val="99"/>
    <w:semiHidden/>
    <w:rsid w:val="001D1548"/>
    <w:rPr>
      <w:rFonts w:ascii="Arial" w:eastAsia="Times New Roman" w:hAnsi="Arial" w:cs="Times New Roman"/>
      <w:b/>
      <w:bCs/>
      <w:sz w:val="20"/>
      <w:szCs w:val="20"/>
      <w:lang w:val="en-US"/>
    </w:rPr>
  </w:style>
  <w:style w:type="paragraph" w:styleId="Revision">
    <w:name w:val="Revision"/>
    <w:hidden/>
    <w:uiPriority w:val="99"/>
    <w:semiHidden/>
    <w:rsid w:val="001D1548"/>
    <w:pPr>
      <w:spacing w:after="0" w:line="240" w:lineRule="auto"/>
    </w:pPr>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1D1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4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7447">
      <w:bodyDiv w:val="1"/>
      <w:marLeft w:val="0"/>
      <w:marRight w:val="0"/>
      <w:marTop w:val="0"/>
      <w:marBottom w:val="0"/>
      <w:divBdr>
        <w:top w:val="none" w:sz="0" w:space="0" w:color="auto"/>
        <w:left w:val="none" w:sz="0" w:space="0" w:color="auto"/>
        <w:bottom w:val="none" w:sz="0" w:space="0" w:color="auto"/>
        <w:right w:val="none" w:sz="0" w:space="0" w:color="auto"/>
      </w:divBdr>
      <w:divsChild>
        <w:div w:id="1846552781">
          <w:marLeft w:val="0"/>
          <w:marRight w:val="0"/>
          <w:marTop w:val="0"/>
          <w:marBottom w:val="0"/>
          <w:divBdr>
            <w:top w:val="none" w:sz="0" w:space="0" w:color="auto"/>
            <w:left w:val="none" w:sz="0" w:space="0" w:color="auto"/>
            <w:bottom w:val="none" w:sz="0" w:space="0" w:color="auto"/>
            <w:right w:val="none" w:sz="0" w:space="0" w:color="auto"/>
          </w:divBdr>
          <w:divsChild>
            <w:div w:id="1145128688">
              <w:marLeft w:val="0"/>
              <w:marRight w:val="0"/>
              <w:marTop w:val="0"/>
              <w:marBottom w:val="0"/>
              <w:divBdr>
                <w:top w:val="none" w:sz="0" w:space="0" w:color="auto"/>
                <w:left w:val="none" w:sz="0" w:space="0" w:color="auto"/>
                <w:bottom w:val="none" w:sz="0" w:space="0" w:color="auto"/>
                <w:right w:val="none" w:sz="0" w:space="0" w:color="auto"/>
              </w:divBdr>
              <w:divsChild>
                <w:div w:id="1549299354">
                  <w:marLeft w:val="0"/>
                  <w:marRight w:val="0"/>
                  <w:marTop w:val="0"/>
                  <w:marBottom w:val="0"/>
                  <w:divBdr>
                    <w:top w:val="none" w:sz="0" w:space="0" w:color="auto"/>
                    <w:left w:val="none" w:sz="0" w:space="0" w:color="auto"/>
                    <w:bottom w:val="none" w:sz="0" w:space="0" w:color="auto"/>
                    <w:right w:val="none" w:sz="0" w:space="0" w:color="auto"/>
                  </w:divBdr>
                  <w:divsChild>
                    <w:div w:id="1526560680">
                      <w:marLeft w:val="0"/>
                      <w:marRight w:val="0"/>
                      <w:marTop w:val="0"/>
                      <w:marBottom w:val="0"/>
                      <w:divBdr>
                        <w:top w:val="none" w:sz="0" w:space="0" w:color="auto"/>
                        <w:left w:val="none" w:sz="0" w:space="0" w:color="auto"/>
                        <w:bottom w:val="none" w:sz="0" w:space="0" w:color="auto"/>
                        <w:right w:val="none" w:sz="0" w:space="0" w:color="auto"/>
                      </w:divBdr>
                    </w:div>
                    <w:div w:id="1299215469">
                      <w:marLeft w:val="0"/>
                      <w:marRight w:val="0"/>
                      <w:marTop w:val="0"/>
                      <w:marBottom w:val="390"/>
                      <w:divBdr>
                        <w:top w:val="none" w:sz="0" w:space="0" w:color="auto"/>
                        <w:left w:val="none" w:sz="0" w:space="0" w:color="auto"/>
                        <w:bottom w:val="single" w:sz="18" w:space="8" w:color="6487AF"/>
                        <w:right w:val="none" w:sz="0" w:space="0" w:color="auto"/>
                      </w:divBdr>
                    </w:div>
                    <w:div w:id="8358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8579">
              <w:marLeft w:val="0"/>
              <w:marRight w:val="0"/>
              <w:marTop w:val="0"/>
              <w:marBottom w:val="0"/>
              <w:divBdr>
                <w:top w:val="none" w:sz="0" w:space="0" w:color="auto"/>
                <w:left w:val="none" w:sz="0" w:space="0" w:color="auto"/>
                <w:bottom w:val="none" w:sz="0" w:space="0" w:color="auto"/>
                <w:right w:val="none" w:sz="0" w:space="0" w:color="auto"/>
              </w:divBdr>
              <w:divsChild>
                <w:div w:id="394931647">
                  <w:marLeft w:val="0"/>
                  <w:marRight w:val="0"/>
                  <w:marTop w:val="0"/>
                  <w:marBottom w:val="0"/>
                  <w:divBdr>
                    <w:top w:val="none" w:sz="0" w:space="0" w:color="auto"/>
                    <w:left w:val="none" w:sz="0" w:space="0" w:color="auto"/>
                    <w:bottom w:val="single" w:sz="18" w:space="21" w:color="6487AF"/>
                    <w:right w:val="none" w:sz="0" w:space="0" w:color="auto"/>
                  </w:divBdr>
                  <w:divsChild>
                    <w:div w:id="19597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4643">
      <w:bodyDiv w:val="1"/>
      <w:marLeft w:val="0"/>
      <w:marRight w:val="0"/>
      <w:marTop w:val="0"/>
      <w:marBottom w:val="0"/>
      <w:divBdr>
        <w:top w:val="none" w:sz="0" w:space="0" w:color="auto"/>
        <w:left w:val="none" w:sz="0" w:space="0" w:color="auto"/>
        <w:bottom w:val="none" w:sz="0" w:space="0" w:color="auto"/>
        <w:right w:val="none" w:sz="0" w:space="0" w:color="auto"/>
      </w:divBdr>
    </w:div>
    <w:div w:id="1647706326">
      <w:bodyDiv w:val="1"/>
      <w:marLeft w:val="0"/>
      <w:marRight w:val="0"/>
      <w:marTop w:val="0"/>
      <w:marBottom w:val="0"/>
      <w:divBdr>
        <w:top w:val="none" w:sz="0" w:space="0" w:color="auto"/>
        <w:left w:val="none" w:sz="0" w:space="0" w:color="auto"/>
        <w:bottom w:val="none" w:sz="0" w:space="0" w:color="auto"/>
        <w:right w:val="none" w:sz="0" w:space="0" w:color="auto"/>
      </w:divBdr>
      <w:divsChild>
        <w:div w:id="80376512">
          <w:marLeft w:val="0"/>
          <w:marRight w:val="0"/>
          <w:marTop w:val="0"/>
          <w:marBottom w:val="0"/>
          <w:divBdr>
            <w:top w:val="none" w:sz="0" w:space="0" w:color="auto"/>
            <w:left w:val="none" w:sz="0" w:space="0" w:color="auto"/>
            <w:bottom w:val="none" w:sz="0" w:space="0" w:color="auto"/>
            <w:right w:val="none" w:sz="0" w:space="0" w:color="auto"/>
          </w:divBdr>
          <w:divsChild>
            <w:div w:id="408116434">
              <w:marLeft w:val="0"/>
              <w:marRight w:val="0"/>
              <w:marTop w:val="0"/>
              <w:marBottom w:val="0"/>
              <w:divBdr>
                <w:top w:val="none" w:sz="0" w:space="0" w:color="auto"/>
                <w:left w:val="none" w:sz="0" w:space="0" w:color="auto"/>
                <w:bottom w:val="none" w:sz="0" w:space="0" w:color="auto"/>
                <w:right w:val="none" w:sz="0" w:space="0" w:color="auto"/>
              </w:divBdr>
              <w:divsChild>
                <w:div w:id="840850419">
                  <w:marLeft w:val="0"/>
                  <w:marRight w:val="0"/>
                  <w:marTop w:val="0"/>
                  <w:marBottom w:val="0"/>
                  <w:divBdr>
                    <w:top w:val="none" w:sz="0" w:space="0" w:color="auto"/>
                    <w:left w:val="none" w:sz="0" w:space="0" w:color="auto"/>
                    <w:bottom w:val="none" w:sz="0" w:space="0" w:color="auto"/>
                    <w:right w:val="none" w:sz="0" w:space="0" w:color="auto"/>
                  </w:divBdr>
                  <w:divsChild>
                    <w:div w:id="1014652492">
                      <w:marLeft w:val="0"/>
                      <w:marRight w:val="0"/>
                      <w:marTop w:val="0"/>
                      <w:marBottom w:val="0"/>
                      <w:divBdr>
                        <w:top w:val="none" w:sz="0" w:space="0" w:color="auto"/>
                        <w:left w:val="none" w:sz="0" w:space="0" w:color="auto"/>
                        <w:bottom w:val="none" w:sz="0" w:space="0" w:color="auto"/>
                        <w:right w:val="none" w:sz="0" w:space="0" w:color="auto"/>
                      </w:divBdr>
                      <w:divsChild>
                        <w:div w:id="15374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03131">
      <w:bodyDiv w:val="1"/>
      <w:marLeft w:val="0"/>
      <w:marRight w:val="0"/>
      <w:marTop w:val="0"/>
      <w:marBottom w:val="0"/>
      <w:divBdr>
        <w:top w:val="none" w:sz="0" w:space="0" w:color="auto"/>
        <w:left w:val="none" w:sz="0" w:space="0" w:color="auto"/>
        <w:bottom w:val="none" w:sz="0" w:space="0" w:color="auto"/>
        <w:right w:val="none" w:sz="0" w:space="0" w:color="auto"/>
      </w:divBdr>
      <w:divsChild>
        <w:div w:id="1925720031">
          <w:marLeft w:val="0"/>
          <w:marRight w:val="0"/>
          <w:marTop w:val="0"/>
          <w:marBottom w:val="0"/>
          <w:divBdr>
            <w:top w:val="none" w:sz="0" w:space="0" w:color="auto"/>
            <w:left w:val="none" w:sz="0" w:space="0" w:color="auto"/>
            <w:bottom w:val="none" w:sz="0" w:space="0" w:color="auto"/>
            <w:right w:val="none" w:sz="0" w:space="0" w:color="auto"/>
          </w:divBdr>
        </w:div>
        <w:div w:id="623855419">
          <w:marLeft w:val="0"/>
          <w:marRight w:val="0"/>
          <w:marTop w:val="0"/>
          <w:marBottom w:val="0"/>
          <w:divBdr>
            <w:top w:val="none" w:sz="0" w:space="0" w:color="auto"/>
            <w:left w:val="none" w:sz="0" w:space="0" w:color="auto"/>
            <w:bottom w:val="none" w:sz="0" w:space="0" w:color="auto"/>
            <w:right w:val="none" w:sz="0" w:space="0" w:color="auto"/>
          </w:divBdr>
        </w:div>
        <w:div w:id="1160390564">
          <w:marLeft w:val="0"/>
          <w:marRight w:val="0"/>
          <w:marTop w:val="0"/>
          <w:marBottom w:val="0"/>
          <w:divBdr>
            <w:top w:val="none" w:sz="0" w:space="0" w:color="auto"/>
            <w:left w:val="none" w:sz="0" w:space="0" w:color="auto"/>
            <w:bottom w:val="none" w:sz="0" w:space="0" w:color="auto"/>
            <w:right w:val="none" w:sz="0" w:space="0" w:color="auto"/>
          </w:divBdr>
        </w:div>
        <w:div w:id="1427462499">
          <w:marLeft w:val="0"/>
          <w:marRight w:val="0"/>
          <w:marTop w:val="0"/>
          <w:marBottom w:val="0"/>
          <w:divBdr>
            <w:top w:val="none" w:sz="0" w:space="0" w:color="auto"/>
            <w:left w:val="none" w:sz="0" w:space="0" w:color="auto"/>
            <w:bottom w:val="none" w:sz="0" w:space="0" w:color="auto"/>
            <w:right w:val="none" w:sz="0" w:space="0" w:color="auto"/>
          </w:divBdr>
        </w:div>
        <w:div w:id="1602641830">
          <w:marLeft w:val="0"/>
          <w:marRight w:val="0"/>
          <w:marTop w:val="0"/>
          <w:marBottom w:val="0"/>
          <w:divBdr>
            <w:top w:val="none" w:sz="0" w:space="0" w:color="auto"/>
            <w:left w:val="none" w:sz="0" w:space="0" w:color="auto"/>
            <w:bottom w:val="none" w:sz="0" w:space="0" w:color="auto"/>
            <w:right w:val="none" w:sz="0" w:space="0" w:color="auto"/>
          </w:divBdr>
        </w:div>
        <w:div w:id="31998073">
          <w:marLeft w:val="0"/>
          <w:marRight w:val="0"/>
          <w:marTop w:val="0"/>
          <w:marBottom w:val="0"/>
          <w:divBdr>
            <w:top w:val="none" w:sz="0" w:space="0" w:color="auto"/>
            <w:left w:val="none" w:sz="0" w:space="0" w:color="auto"/>
            <w:bottom w:val="none" w:sz="0" w:space="0" w:color="auto"/>
            <w:right w:val="none" w:sz="0" w:space="0" w:color="auto"/>
          </w:divBdr>
        </w:div>
        <w:div w:id="269512839">
          <w:marLeft w:val="0"/>
          <w:marRight w:val="0"/>
          <w:marTop w:val="0"/>
          <w:marBottom w:val="0"/>
          <w:divBdr>
            <w:top w:val="none" w:sz="0" w:space="0" w:color="auto"/>
            <w:left w:val="none" w:sz="0" w:space="0" w:color="auto"/>
            <w:bottom w:val="none" w:sz="0" w:space="0" w:color="auto"/>
            <w:right w:val="none" w:sz="0" w:space="0" w:color="auto"/>
          </w:divBdr>
        </w:div>
        <w:div w:id="503129532">
          <w:marLeft w:val="0"/>
          <w:marRight w:val="0"/>
          <w:marTop w:val="0"/>
          <w:marBottom w:val="0"/>
          <w:divBdr>
            <w:top w:val="none" w:sz="0" w:space="0" w:color="auto"/>
            <w:left w:val="none" w:sz="0" w:space="0" w:color="auto"/>
            <w:bottom w:val="none" w:sz="0" w:space="0" w:color="auto"/>
            <w:right w:val="none" w:sz="0" w:space="0" w:color="auto"/>
          </w:divBdr>
        </w:div>
        <w:div w:id="1109741824">
          <w:marLeft w:val="0"/>
          <w:marRight w:val="0"/>
          <w:marTop w:val="0"/>
          <w:marBottom w:val="0"/>
          <w:divBdr>
            <w:top w:val="none" w:sz="0" w:space="0" w:color="auto"/>
            <w:left w:val="none" w:sz="0" w:space="0" w:color="auto"/>
            <w:bottom w:val="none" w:sz="0" w:space="0" w:color="auto"/>
            <w:right w:val="none" w:sz="0" w:space="0" w:color="auto"/>
          </w:divBdr>
        </w:div>
        <w:div w:id="2127506927">
          <w:marLeft w:val="0"/>
          <w:marRight w:val="0"/>
          <w:marTop w:val="0"/>
          <w:marBottom w:val="0"/>
          <w:divBdr>
            <w:top w:val="none" w:sz="0" w:space="0" w:color="auto"/>
            <w:left w:val="none" w:sz="0" w:space="0" w:color="auto"/>
            <w:bottom w:val="none" w:sz="0" w:space="0" w:color="auto"/>
            <w:right w:val="none" w:sz="0" w:space="0" w:color="auto"/>
          </w:divBdr>
        </w:div>
        <w:div w:id="1134713993">
          <w:marLeft w:val="0"/>
          <w:marRight w:val="0"/>
          <w:marTop w:val="0"/>
          <w:marBottom w:val="0"/>
          <w:divBdr>
            <w:top w:val="none" w:sz="0" w:space="0" w:color="auto"/>
            <w:left w:val="none" w:sz="0" w:space="0" w:color="auto"/>
            <w:bottom w:val="none" w:sz="0" w:space="0" w:color="auto"/>
            <w:right w:val="none" w:sz="0" w:space="0" w:color="auto"/>
          </w:divBdr>
        </w:div>
        <w:div w:id="490754242">
          <w:marLeft w:val="0"/>
          <w:marRight w:val="0"/>
          <w:marTop w:val="0"/>
          <w:marBottom w:val="0"/>
          <w:divBdr>
            <w:top w:val="none" w:sz="0" w:space="0" w:color="auto"/>
            <w:left w:val="none" w:sz="0" w:space="0" w:color="auto"/>
            <w:bottom w:val="none" w:sz="0" w:space="0" w:color="auto"/>
            <w:right w:val="none" w:sz="0" w:space="0" w:color="auto"/>
          </w:divBdr>
        </w:div>
        <w:div w:id="1077753788">
          <w:marLeft w:val="0"/>
          <w:marRight w:val="0"/>
          <w:marTop w:val="0"/>
          <w:marBottom w:val="0"/>
          <w:divBdr>
            <w:top w:val="none" w:sz="0" w:space="0" w:color="auto"/>
            <w:left w:val="none" w:sz="0" w:space="0" w:color="auto"/>
            <w:bottom w:val="none" w:sz="0" w:space="0" w:color="auto"/>
            <w:right w:val="none" w:sz="0" w:space="0" w:color="auto"/>
          </w:divBdr>
        </w:div>
        <w:div w:id="1260522723">
          <w:marLeft w:val="0"/>
          <w:marRight w:val="0"/>
          <w:marTop w:val="0"/>
          <w:marBottom w:val="0"/>
          <w:divBdr>
            <w:top w:val="none" w:sz="0" w:space="0" w:color="auto"/>
            <w:left w:val="none" w:sz="0" w:space="0" w:color="auto"/>
            <w:bottom w:val="none" w:sz="0" w:space="0" w:color="auto"/>
            <w:right w:val="none" w:sz="0" w:space="0" w:color="auto"/>
          </w:divBdr>
        </w:div>
        <w:div w:id="1691108540">
          <w:marLeft w:val="0"/>
          <w:marRight w:val="0"/>
          <w:marTop w:val="0"/>
          <w:marBottom w:val="0"/>
          <w:divBdr>
            <w:top w:val="none" w:sz="0" w:space="0" w:color="auto"/>
            <w:left w:val="none" w:sz="0" w:space="0" w:color="auto"/>
            <w:bottom w:val="none" w:sz="0" w:space="0" w:color="auto"/>
            <w:right w:val="none" w:sz="0" w:space="0" w:color="auto"/>
          </w:divBdr>
        </w:div>
        <w:div w:id="218832497">
          <w:marLeft w:val="0"/>
          <w:marRight w:val="0"/>
          <w:marTop w:val="0"/>
          <w:marBottom w:val="0"/>
          <w:divBdr>
            <w:top w:val="none" w:sz="0" w:space="0" w:color="auto"/>
            <w:left w:val="none" w:sz="0" w:space="0" w:color="auto"/>
            <w:bottom w:val="none" w:sz="0" w:space="0" w:color="auto"/>
            <w:right w:val="none" w:sz="0" w:space="0" w:color="auto"/>
          </w:divBdr>
        </w:div>
        <w:div w:id="1537503201">
          <w:marLeft w:val="0"/>
          <w:marRight w:val="0"/>
          <w:marTop w:val="0"/>
          <w:marBottom w:val="0"/>
          <w:divBdr>
            <w:top w:val="none" w:sz="0" w:space="0" w:color="auto"/>
            <w:left w:val="none" w:sz="0" w:space="0" w:color="auto"/>
            <w:bottom w:val="none" w:sz="0" w:space="0" w:color="auto"/>
            <w:right w:val="none" w:sz="0" w:space="0" w:color="auto"/>
          </w:divBdr>
        </w:div>
        <w:div w:id="708338026">
          <w:marLeft w:val="0"/>
          <w:marRight w:val="0"/>
          <w:marTop w:val="0"/>
          <w:marBottom w:val="0"/>
          <w:divBdr>
            <w:top w:val="none" w:sz="0" w:space="0" w:color="auto"/>
            <w:left w:val="none" w:sz="0" w:space="0" w:color="auto"/>
            <w:bottom w:val="none" w:sz="0" w:space="0" w:color="auto"/>
            <w:right w:val="none" w:sz="0" w:space="0" w:color="auto"/>
          </w:divBdr>
        </w:div>
        <w:div w:id="1396776226">
          <w:marLeft w:val="0"/>
          <w:marRight w:val="0"/>
          <w:marTop w:val="0"/>
          <w:marBottom w:val="0"/>
          <w:divBdr>
            <w:top w:val="none" w:sz="0" w:space="0" w:color="auto"/>
            <w:left w:val="none" w:sz="0" w:space="0" w:color="auto"/>
            <w:bottom w:val="none" w:sz="0" w:space="0" w:color="auto"/>
            <w:right w:val="none" w:sz="0" w:space="0" w:color="auto"/>
          </w:divBdr>
        </w:div>
        <w:div w:id="639920435">
          <w:marLeft w:val="0"/>
          <w:marRight w:val="0"/>
          <w:marTop w:val="0"/>
          <w:marBottom w:val="0"/>
          <w:divBdr>
            <w:top w:val="none" w:sz="0" w:space="0" w:color="auto"/>
            <w:left w:val="none" w:sz="0" w:space="0" w:color="auto"/>
            <w:bottom w:val="none" w:sz="0" w:space="0" w:color="auto"/>
            <w:right w:val="none" w:sz="0" w:space="0" w:color="auto"/>
          </w:divBdr>
        </w:div>
        <w:div w:id="1988048701">
          <w:marLeft w:val="0"/>
          <w:marRight w:val="0"/>
          <w:marTop w:val="0"/>
          <w:marBottom w:val="0"/>
          <w:divBdr>
            <w:top w:val="none" w:sz="0" w:space="0" w:color="auto"/>
            <w:left w:val="none" w:sz="0" w:space="0" w:color="auto"/>
            <w:bottom w:val="none" w:sz="0" w:space="0" w:color="auto"/>
            <w:right w:val="none" w:sz="0" w:space="0" w:color="auto"/>
          </w:divBdr>
        </w:div>
        <w:div w:id="1244024192">
          <w:marLeft w:val="0"/>
          <w:marRight w:val="0"/>
          <w:marTop w:val="0"/>
          <w:marBottom w:val="0"/>
          <w:divBdr>
            <w:top w:val="none" w:sz="0" w:space="0" w:color="auto"/>
            <w:left w:val="none" w:sz="0" w:space="0" w:color="auto"/>
            <w:bottom w:val="none" w:sz="0" w:space="0" w:color="auto"/>
            <w:right w:val="none" w:sz="0" w:space="0" w:color="auto"/>
          </w:divBdr>
        </w:div>
        <w:div w:id="1227960733">
          <w:marLeft w:val="0"/>
          <w:marRight w:val="0"/>
          <w:marTop w:val="0"/>
          <w:marBottom w:val="0"/>
          <w:divBdr>
            <w:top w:val="none" w:sz="0" w:space="0" w:color="auto"/>
            <w:left w:val="none" w:sz="0" w:space="0" w:color="auto"/>
            <w:bottom w:val="none" w:sz="0" w:space="0" w:color="auto"/>
            <w:right w:val="none" w:sz="0" w:space="0" w:color="auto"/>
          </w:divBdr>
        </w:div>
        <w:div w:id="1588271147">
          <w:marLeft w:val="0"/>
          <w:marRight w:val="0"/>
          <w:marTop w:val="0"/>
          <w:marBottom w:val="0"/>
          <w:divBdr>
            <w:top w:val="none" w:sz="0" w:space="0" w:color="auto"/>
            <w:left w:val="none" w:sz="0" w:space="0" w:color="auto"/>
            <w:bottom w:val="none" w:sz="0" w:space="0" w:color="auto"/>
            <w:right w:val="none" w:sz="0" w:space="0" w:color="auto"/>
          </w:divBdr>
        </w:div>
        <w:div w:id="1150026173">
          <w:marLeft w:val="0"/>
          <w:marRight w:val="0"/>
          <w:marTop w:val="0"/>
          <w:marBottom w:val="0"/>
          <w:divBdr>
            <w:top w:val="none" w:sz="0" w:space="0" w:color="auto"/>
            <w:left w:val="none" w:sz="0" w:space="0" w:color="auto"/>
            <w:bottom w:val="none" w:sz="0" w:space="0" w:color="auto"/>
            <w:right w:val="none" w:sz="0" w:space="0" w:color="auto"/>
          </w:divBdr>
        </w:div>
        <w:div w:id="985015390">
          <w:marLeft w:val="0"/>
          <w:marRight w:val="0"/>
          <w:marTop w:val="0"/>
          <w:marBottom w:val="0"/>
          <w:divBdr>
            <w:top w:val="none" w:sz="0" w:space="0" w:color="auto"/>
            <w:left w:val="none" w:sz="0" w:space="0" w:color="auto"/>
            <w:bottom w:val="none" w:sz="0" w:space="0" w:color="auto"/>
            <w:right w:val="none" w:sz="0" w:space="0" w:color="auto"/>
          </w:divBdr>
        </w:div>
        <w:div w:id="1209955137">
          <w:marLeft w:val="0"/>
          <w:marRight w:val="0"/>
          <w:marTop w:val="0"/>
          <w:marBottom w:val="0"/>
          <w:divBdr>
            <w:top w:val="none" w:sz="0" w:space="0" w:color="auto"/>
            <w:left w:val="none" w:sz="0" w:space="0" w:color="auto"/>
            <w:bottom w:val="none" w:sz="0" w:space="0" w:color="auto"/>
            <w:right w:val="none" w:sz="0" w:space="0" w:color="auto"/>
          </w:divBdr>
        </w:div>
        <w:div w:id="821505612">
          <w:marLeft w:val="0"/>
          <w:marRight w:val="0"/>
          <w:marTop w:val="0"/>
          <w:marBottom w:val="0"/>
          <w:divBdr>
            <w:top w:val="none" w:sz="0" w:space="0" w:color="auto"/>
            <w:left w:val="none" w:sz="0" w:space="0" w:color="auto"/>
            <w:bottom w:val="none" w:sz="0" w:space="0" w:color="auto"/>
            <w:right w:val="none" w:sz="0" w:space="0" w:color="auto"/>
          </w:divBdr>
        </w:div>
        <w:div w:id="810942618">
          <w:marLeft w:val="0"/>
          <w:marRight w:val="0"/>
          <w:marTop w:val="0"/>
          <w:marBottom w:val="0"/>
          <w:divBdr>
            <w:top w:val="none" w:sz="0" w:space="0" w:color="auto"/>
            <w:left w:val="none" w:sz="0" w:space="0" w:color="auto"/>
            <w:bottom w:val="none" w:sz="0" w:space="0" w:color="auto"/>
            <w:right w:val="none" w:sz="0" w:space="0" w:color="auto"/>
          </w:divBdr>
        </w:div>
        <w:div w:id="203518051">
          <w:marLeft w:val="0"/>
          <w:marRight w:val="0"/>
          <w:marTop w:val="0"/>
          <w:marBottom w:val="0"/>
          <w:divBdr>
            <w:top w:val="none" w:sz="0" w:space="0" w:color="auto"/>
            <w:left w:val="none" w:sz="0" w:space="0" w:color="auto"/>
            <w:bottom w:val="none" w:sz="0" w:space="0" w:color="auto"/>
            <w:right w:val="none" w:sz="0" w:space="0" w:color="auto"/>
          </w:divBdr>
        </w:div>
        <w:div w:id="484052720">
          <w:marLeft w:val="0"/>
          <w:marRight w:val="0"/>
          <w:marTop w:val="0"/>
          <w:marBottom w:val="0"/>
          <w:divBdr>
            <w:top w:val="none" w:sz="0" w:space="0" w:color="auto"/>
            <w:left w:val="none" w:sz="0" w:space="0" w:color="auto"/>
            <w:bottom w:val="none" w:sz="0" w:space="0" w:color="auto"/>
            <w:right w:val="none" w:sz="0" w:space="0" w:color="auto"/>
          </w:divBdr>
        </w:div>
        <w:div w:id="463157087">
          <w:marLeft w:val="0"/>
          <w:marRight w:val="0"/>
          <w:marTop w:val="0"/>
          <w:marBottom w:val="0"/>
          <w:divBdr>
            <w:top w:val="none" w:sz="0" w:space="0" w:color="auto"/>
            <w:left w:val="none" w:sz="0" w:space="0" w:color="auto"/>
            <w:bottom w:val="none" w:sz="0" w:space="0" w:color="auto"/>
            <w:right w:val="none" w:sz="0" w:space="0" w:color="auto"/>
          </w:divBdr>
        </w:div>
        <w:div w:id="1386022556">
          <w:marLeft w:val="0"/>
          <w:marRight w:val="0"/>
          <w:marTop w:val="0"/>
          <w:marBottom w:val="0"/>
          <w:divBdr>
            <w:top w:val="none" w:sz="0" w:space="0" w:color="auto"/>
            <w:left w:val="none" w:sz="0" w:space="0" w:color="auto"/>
            <w:bottom w:val="none" w:sz="0" w:space="0" w:color="auto"/>
            <w:right w:val="none" w:sz="0" w:space="0" w:color="auto"/>
          </w:divBdr>
        </w:div>
        <w:div w:id="125053588">
          <w:marLeft w:val="0"/>
          <w:marRight w:val="0"/>
          <w:marTop w:val="0"/>
          <w:marBottom w:val="0"/>
          <w:divBdr>
            <w:top w:val="none" w:sz="0" w:space="0" w:color="auto"/>
            <w:left w:val="none" w:sz="0" w:space="0" w:color="auto"/>
            <w:bottom w:val="none" w:sz="0" w:space="0" w:color="auto"/>
            <w:right w:val="none" w:sz="0" w:space="0" w:color="auto"/>
          </w:divBdr>
        </w:div>
        <w:div w:id="244340949">
          <w:marLeft w:val="0"/>
          <w:marRight w:val="0"/>
          <w:marTop w:val="0"/>
          <w:marBottom w:val="0"/>
          <w:divBdr>
            <w:top w:val="none" w:sz="0" w:space="0" w:color="auto"/>
            <w:left w:val="none" w:sz="0" w:space="0" w:color="auto"/>
            <w:bottom w:val="none" w:sz="0" w:space="0" w:color="auto"/>
            <w:right w:val="none" w:sz="0" w:space="0" w:color="auto"/>
          </w:divBdr>
        </w:div>
        <w:div w:id="58870517">
          <w:marLeft w:val="0"/>
          <w:marRight w:val="0"/>
          <w:marTop w:val="0"/>
          <w:marBottom w:val="0"/>
          <w:divBdr>
            <w:top w:val="none" w:sz="0" w:space="0" w:color="auto"/>
            <w:left w:val="none" w:sz="0" w:space="0" w:color="auto"/>
            <w:bottom w:val="none" w:sz="0" w:space="0" w:color="auto"/>
            <w:right w:val="none" w:sz="0" w:space="0" w:color="auto"/>
          </w:divBdr>
        </w:div>
        <w:div w:id="782311751">
          <w:marLeft w:val="0"/>
          <w:marRight w:val="0"/>
          <w:marTop w:val="0"/>
          <w:marBottom w:val="0"/>
          <w:divBdr>
            <w:top w:val="none" w:sz="0" w:space="0" w:color="auto"/>
            <w:left w:val="none" w:sz="0" w:space="0" w:color="auto"/>
            <w:bottom w:val="none" w:sz="0" w:space="0" w:color="auto"/>
            <w:right w:val="none" w:sz="0" w:space="0" w:color="auto"/>
          </w:divBdr>
        </w:div>
        <w:div w:id="1002463782">
          <w:marLeft w:val="0"/>
          <w:marRight w:val="0"/>
          <w:marTop w:val="0"/>
          <w:marBottom w:val="0"/>
          <w:divBdr>
            <w:top w:val="none" w:sz="0" w:space="0" w:color="auto"/>
            <w:left w:val="none" w:sz="0" w:space="0" w:color="auto"/>
            <w:bottom w:val="none" w:sz="0" w:space="0" w:color="auto"/>
            <w:right w:val="none" w:sz="0" w:space="0" w:color="auto"/>
          </w:divBdr>
        </w:div>
      </w:divsChild>
    </w:div>
    <w:div w:id="1793596868">
      <w:bodyDiv w:val="1"/>
      <w:marLeft w:val="0"/>
      <w:marRight w:val="0"/>
      <w:marTop w:val="0"/>
      <w:marBottom w:val="0"/>
      <w:divBdr>
        <w:top w:val="none" w:sz="0" w:space="0" w:color="auto"/>
        <w:left w:val="none" w:sz="0" w:space="0" w:color="auto"/>
        <w:bottom w:val="none" w:sz="0" w:space="0" w:color="auto"/>
        <w:right w:val="none" w:sz="0" w:space="0" w:color="auto"/>
      </w:divBdr>
    </w:div>
    <w:div w:id="21311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4869-3E75-43EC-8AEF-658D65CF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Ray</dc:creator>
  <cp:keywords/>
  <dc:description/>
  <cp:lastModifiedBy>Lisa Ray</cp:lastModifiedBy>
  <cp:revision>78</cp:revision>
  <cp:lastPrinted>2018-05-04T12:01:00Z</cp:lastPrinted>
  <dcterms:created xsi:type="dcterms:W3CDTF">2018-04-25T09:31:00Z</dcterms:created>
  <dcterms:modified xsi:type="dcterms:W3CDTF">2018-05-10T16:26:00Z</dcterms:modified>
</cp:coreProperties>
</file>